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0" w:type="auto"/>
        <w:tblInd w:w="108" w:type="dxa"/>
        <w:tblLook w:val="04A0" w:firstRow="1" w:lastRow="0" w:firstColumn="1" w:lastColumn="0" w:noHBand="0" w:noVBand="1"/>
      </w:tblPr>
      <w:tblGrid>
        <w:gridCol w:w="2368"/>
        <w:gridCol w:w="5854"/>
        <w:gridCol w:w="1417"/>
      </w:tblGrid>
      <w:tr w:rsidR="00C162F4" w:rsidRPr="00824144" w14:paraId="248443A3" w14:textId="77777777" w:rsidTr="00C162F4">
        <w:trPr>
          <w:trHeight w:val="1639"/>
        </w:trPr>
        <w:tc>
          <w:tcPr>
            <w:tcW w:w="2368" w:type="dxa"/>
            <w:tcBorders>
              <w:left w:val="nil"/>
              <w:right w:val="nil"/>
            </w:tcBorders>
          </w:tcPr>
          <w:p w14:paraId="7CD3A40A" w14:textId="123F8996" w:rsidR="00C162F4" w:rsidRPr="00824144" w:rsidRDefault="009D4A7B" w:rsidP="00373E55">
            <w:pPr>
              <w:pStyle w:val="NormalWeb"/>
              <w:spacing w:before="0" w:beforeAutospacing="0" w:after="0" w:afterAutospacing="0" w:line="276" w:lineRule="auto"/>
              <w:jc w:val="both"/>
              <w:rPr>
                <w:rFonts w:ascii="Garamond" w:hAnsi="Garamond"/>
                <w:b/>
                <w:color w:val="000000" w:themeColor="text1"/>
                <w:sz w:val="32"/>
                <w:szCs w:val="32"/>
              </w:rPr>
            </w:pPr>
            <w:r w:rsidRPr="00824144">
              <w:rPr>
                <w:rFonts w:ascii="Garamond" w:hAnsi="Garamond"/>
                <w:noProof/>
                <w:sz w:val="14"/>
              </w:rPr>
              <mc:AlternateContent>
                <mc:Choice Requires="wps">
                  <w:drawing>
                    <wp:anchor distT="0" distB="0" distL="0" distR="0" simplePos="0" relativeHeight="251672576" behindDoc="1" locked="0" layoutInCell="1" allowOverlap="1" wp14:anchorId="24949F03" wp14:editId="5790F533">
                      <wp:simplePos x="0" y="0"/>
                      <wp:positionH relativeFrom="page">
                        <wp:posOffset>1151890</wp:posOffset>
                      </wp:positionH>
                      <wp:positionV relativeFrom="paragraph">
                        <wp:posOffset>23858</wp:posOffset>
                      </wp:positionV>
                      <wp:extent cx="4037330" cy="993412"/>
                      <wp:effectExtent l="0" t="0" r="1270" b="0"/>
                      <wp:wrapNone/>
                      <wp:docPr id="8659517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7330" cy="993412"/>
                              </a:xfrm>
                              <a:prstGeom prst="rect">
                                <a:avLst/>
                              </a:prstGeom>
                              <a:solidFill>
                                <a:srgbClr val="E6E6E6"/>
                              </a:solidFill>
                            </wps:spPr>
                            <wps:txbx>
                              <w:txbxContent>
                                <w:p w14:paraId="45424488" w14:textId="77777777" w:rsidR="009D4A7B" w:rsidRPr="00C162F4" w:rsidRDefault="009D4A7B" w:rsidP="009D4A7B">
                                  <w:pPr>
                                    <w:pStyle w:val="BodyText"/>
                                    <w:spacing w:after="0"/>
                                    <w:ind w:left="1" w:right="1"/>
                                    <w:jc w:val="center"/>
                                    <w:rPr>
                                      <w:color w:val="000000"/>
                                      <w:w w:val="110"/>
                                      <w:sz w:val="21"/>
                                      <w:szCs w:val="16"/>
                                    </w:rPr>
                                  </w:pPr>
                                </w:p>
                                <w:p w14:paraId="1A4BDE50" w14:textId="22DA8A3A" w:rsidR="009D4A7B" w:rsidRPr="00D53797" w:rsidRDefault="009D4A7B" w:rsidP="009D4A7B">
                                  <w:pPr>
                                    <w:pStyle w:val="BodyText"/>
                                    <w:spacing w:line="174" w:lineRule="exact"/>
                                    <w:ind w:left="1" w:right="1"/>
                                    <w:jc w:val="center"/>
                                    <w:rPr>
                                      <w:color w:val="000000"/>
                                      <w:sz w:val="15"/>
                                      <w:szCs w:val="15"/>
                                    </w:rPr>
                                  </w:pPr>
                                  <w:r w:rsidRPr="00D53797">
                                    <w:rPr>
                                      <w:rFonts w:hint="cs"/>
                                      <w:color w:val="000000"/>
                                      <w:w w:val="110"/>
                                      <w:sz w:val="15"/>
                                      <w:szCs w:val="15"/>
                                    </w:rPr>
                                    <w:t xml:space="preserve">p-ISSN </w:t>
                                  </w:r>
                                  <w:r w:rsidR="009E4505">
                                    <w:rPr>
                                      <w:color w:val="000000"/>
                                      <w:w w:val="110"/>
                                      <w:sz w:val="15"/>
                                      <w:szCs w:val="15"/>
                                    </w:rPr>
                                    <w:t>0000</w:t>
                                  </w:r>
                                  <w:r w:rsidRPr="004D35B2">
                                    <w:rPr>
                                      <w:color w:val="000000"/>
                                      <w:w w:val="110"/>
                                      <w:sz w:val="15"/>
                                      <w:szCs w:val="15"/>
                                    </w:rPr>
                                    <w:t>-</w:t>
                                  </w:r>
                                  <w:r w:rsidR="009E4505">
                                    <w:rPr>
                                      <w:color w:val="000000"/>
                                      <w:w w:val="110"/>
                                      <w:sz w:val="15"/>
                                      <w:szCs w:val="15"/>
                                    </w:rPr>
                                    <w:t>0000</w:t>
                                  </w:r>
                                  <w:r w:rsidRPr="00D53797">
                                    <w:rPr>
                                      <w:rFonts w:hint="cs"/>
                                      <w:color w:val="000000"/>
                                      <w:w w:val="110"/>
                                      <w:sz w:val="15"/>
                                      <w:szCs w:val="15"/>
                                    </w:rPr>
                                    <w:t xml:space="preserve"> | e-ISSN </w:t>
                                  </w:r>
                                  <w:r w:rsidR="009E4505">
                                    <w:rPr>
                                      <w:color w:val="000000"/>
                                      <w:w w:val="110"/>
                                      <w:sz w:val="15"/>
                                      <w:szCs w:val="15"/>
                                    </w:rPr>
                                    <w:t>0000</w:t>
                                  </w:r>
                                  <w:r w:rsidRPr="009506F7">
                                    <w:rPr>
                                      <w:color w:val="000000"/>
                                      <w:w w:val="110"/>
                                      <w:sz w:val="15"/>
                                      <w:szCs w:val="15"/>
                                    </w:rPr>
                                    <w:t>-</w:t>
                                  </w:r>
                                  <w:r w:rsidR="009E4505">
                                    <w:rPr>
                                      <w:color w:val="000000"/>
                                      <w:w w:val="110"/>
                                      <w:sz w:val="15"/>
                                      <w:szCs w:val="15"/>
                                    </w:rPr>
                                    <w:t>0000</w:t>
                                  </w:r>
                                  <w:r w:rsidRPr="00D53797">
                                    <w:rPr>
                                      <w:rFonts w:hint="cs"/>
                                      <w:color w:val="000000"/>
                                      <w:spacing w:val="1"/>
                                      <w:w w:val="110"/>
                                      <w:sz w:val="15"/>
                                      <w:szCs w:val="15"/>
                                    </w:rPr>
                                    <w:t xml:space="preserve"> </w:t>
                                  </w:r>
                                  <w:hyperlink r:id="rId8"/>
                                </w:p>
                                <w:p w14:paraId="6B9C72C9" w14:textId="0E8177B6" w:rsidR="009D4A7B" w:rsidRPr="00C32A23" w:rsidRDefault="009E4505" w:rsidP="009D4A7B">
                                  <w:pPr>
                                    <w:spacing w:before="1"/>
                                    <w:ind w:left="1" w:right="1"/>
                                    <w:jc w:val="center"/>
                                    <w:rPr>
                                      <w:color w:val="000000"/>
                                      <w:w w:val="110"/>
                                      <w:sz w:val="22"/>
                                      <w:szCs w:val="22"/>
                                    </w:rPr>
                                  </w:pPr>
                                  <w:r w:rsidRPr="009E4505">
                                    <w:rPr>
                                      <w:color w:val="000000"/>
                                      <w:w w:val="110"/>
                                      <w:sz w:val="22"/>
                                      <w:szCs w:val="22"/>
                                    </w:rPr>
                                    <w:t>Phoenix Journal of Social, Law, and Political Studies</w:t>
                                  </w:r>
                                </w:p>
                                <w:p w14:paraId="6BEC6D0C" w14:textId="77777777" w:rsidR="009D4A7B" w:rsidRPr="00D53797" w:rsidRDefault="009D4A7B" w:rsidP="009D4A7B">
                                  <w:pPr>
                                    <w:spacing w:before="1"/>
                                    <w:ind w:left="1" w:right="1"/>
                                    <w:jc w:val="center"/>
                                    <w:rPr>
                                      <w:color w:val="000000"/>
                                      <w:sz w:val="11"/>
                                      <w:szCs w:val="8"/>
                                    </w:rPr>
                                  </w:pPr>
                                </w:p>
                                <w:p w14:paraId="68205214" w14:textId="0F71EF43" w:rsidR="009D4A7B" w:rsidRPr="00D53797" w:rsidRDefault="009D4A7B" w:rsidP="009D4A7B">
                                  <w:pPr>
                                    <w:pStyle w:val="BodyText"/>
                                    <w:spacing w:before="1"/>
                                    <w:ind w:left="1"/>
                                    <w:jc w:val="center"/>
                                    <w:rPr>
                                      <w:color w:val="000000"/>
                                      <w:sz w:val="15"/>
                                      <w:szCs w:val="15"/>
                                    </w:rPr>
                                  </w:pPr>
                                  <w:r w:rsidRPr="00D53797">
                                    <w:rPr>
                                      <w:rFonts w:hint="cs"/>
                                      <w:color w:val="000000"/>
                                      <w:w w:val="105"/>
                                      <w:sz w:val="15"/>
                                      <w:szCs w:val="15"/>
                                    </w:rPr>
                                    <w:t>journal</w:t>
                                  </w:r>
                                  <w:r w:rsidRPr="00D53797">
                                    <w:rPr>
                                      <w:rFonts w:hint="cs"/>
                                      <w:color w:val="000000"/>
                                      <w:spacing w:val="19"/>
                                      <w:w w:val="105"/>
                                      <w:sz w:val="15"/>
                                      <w:szCs w:val="15"/>
                                    </w:rPr>
                                    <w:t xml:space="preserve"> </w:t>
                                  </w:r>
                                  <w:r w:rsidRPr="00D53797">
                                    <w:rPr>
                                      <w:rFonts w:hint="cs"/>
                                      <w:color w:val="000000"/>
                                      <w:w w:val="105"/>
                                      <w:sz w:val="15"/>
                                      <w:szCs w:val="15"/>
                                    </w:rPr>
                                    <w:t>homepage:</w:t>
                                  </w:r>
                                  <w:r w:rsidRPr="00D53797">
                                    <w:rPr>
                                      <w:rFonts w:hint="cs"/>
                                      <w:color w:val="000000"/>
                                      <w:spacing w:val="19"/>
                                      <w:w w:val="105"/>
                                      <w:sz w:val="15"/>
                                      <w:szCs w:val="15"/>
                                    </w:rPr>
                                    <w:t xml:space="preserve"> </w:t>
                                  </w:r>
                                  <w:hyperlink r:id="rId9" w:history="1">
                                    <w:r w:rsidR="00E33720" w:rsidRPr="00B61085">
                                      <w:rPr>
                                        <w:rStyle w:val="Hyperlink"/>
                                        <w:sz w:val="15"/>
                                        <w:szCs w:val="15"/>
                                      </w:rPr>
                                      <w:t>https://jurnal.amertainstitute.com/index.php/phoenix</w:t>
                                    </w:r>
                                  </w:hyperlink>
                                  <w:r w:rsidRPr="00D53797">
                                    <w:rPr>
                                      <w:rFonts w:hint="cs"/>
                                      <w:sz w:val="15"/>
                                      <w:szCs w:val="15"/>
                                    </w:rPr>
                                    <w:t xml:space="preserve"> </w:t>
                                  </w:r>
                                </w:p>
                                <w:p w14:paraId="3AF9B8AF" w14:textId="77777777" w:rsidR="009D4A7B" w:rsidRDefault="009D4A7B" w:rsidP="009D4A7B"/>
                                <w:p w14:paraId="192EEF3D" w14:textId="77777777" w:rsidR="009D4A7B" w:rsidRPr="00C162F4" w:rsidRDefault="009D4A7B" w:rsidP="009D4A7B">
                                  <w:pPr>
                                    <w:pStyle w:val="BodyText"/>
                                    <w:spacing w:after="0"/>
                                    <w:ind w:left="1" w:right="1"/>
                                    <w:jc w:val="center"/>
                                    <w:rPr>
                                      <w:rFonts w:ascii="Arial MT"/>
                                      <w:color w:val="000000"/>
                                      <w:sz w:val="20"/>
                                      <w:szCs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4949F03" id="_x0000_t202" coordsize="21600,21600" o:spt="202" path="m,l,21600r21600,l21600,xe">
                      <v:stroke joinstyle="miter"/>
                      <v:path gradientshapeok="t" o:connecttype="rect"/>
                    </v:shapetype>
                    <v:shape id="Textbox 4" o:spid="_x0000_s1026" type="#_x0000_t202" style="position:absolute;left:0;text-align:left;margin-left:90.7pt;margin-top:1.9pt;width:317.9pt;height:78.2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" fillcolor="#e6e6e6" stroked="f">
                      <v:textbox inset="0,0,0,0">
                        <w:txbxContent>
                          <w:p w14:paraId="45424488" w14:textId="77777777" w:rsidR="009D4A7B" w:rsidRPr="00C162F4" w:rsidRDefault="009D4A7B" w:rsidP="009D4A7B">
                            <w:pPr>
                              <w:pStyle w:val="BodyText"/>
                              <w:spacing w:after="0"/>
                              <w:ind w:left="1" w:right="1"/>
                              <w:jc w:val="center"/>
                              <w:rPr>
                                <w:color w:val="000000"/>
                                <w:w w:val="110"/>
                                <w:sz w:val="21"/>
                                <w:szCs w:val="16"/>
                              </w:rPr>
                            </w:pPr>
                          </w:p>
                          <w:p w14:paraId="1A4BDE50" w14:textId="22DA8A3A" w:rsidR="009D4A7B" w:rsidRPr="00D53797" w:rsidRDefault="009D4A7B" w:rsidP="009D4A7B">
                            <w:pPr>
                              <w:pStyle w:val="BodyText"/>
                              <w:spacing w:line="174" w:lineRule="exact"/>
                              <w:ind w:left="1" w:right="1"/>
                              <w:jc w:val="center"/>
                              <w:rPr>
                                <w:color w:val="000000"/>
                                <w:sz w:val="15"/>
                                <w:szCs w:val="15"/>
                              </w:rPr>
                            </w:pPr>
                            <w:r w:rsidRPr="00D53797">
                              <w:rPr>
                                <w:rFonts w:hint="cs"/>
                                <w:color w:val="000000"/>
                                <w:w w:val="110"/>
                                <w:sz w:val="15"/>
                                <w:szCs w:val="15"/>
                              </w:rPr>
                              <w:t xml:space="preserve">p-ISSN </w:t>
                            </w:r>
                            <w:r w:rsidR="009E4505">
                              <w:rPr>
                                <w:color w:val="000000"/>
                                <w:w w:val="110"/>
                                <w:sz w:val="15"/>
                                <w:szCs w:val="15"/>
                              </w:rPr>
                              <w:t>0000</w:t>
                            </w:r>
                            <w:r w:rsidRPr="004D35B2">
                              <w:rPr>
                                <w:color w:val="000000"/>
                                <w:w w:val="110"/>
                                <w:sz w:val="15"/>
                                <w:szCs w:val="15"/>
                              </w:rPr>
                              <w:t>-</w:t>
                            </w:r>
                            <w:r w:rsidR="009E4505">
                              <w:rPr>
                                <w:color w:val="000000"/>
                                <w:w w:val="110"/>
                                <w:sz w:val="15"/>
                                <w:szCs w:val="15"/>
                              </w:rPr>
                              <w:t>0000</w:t>
                            </w:r>
                            <w:r w:rsidRPr="00D53797">
                              <w:rPr>
                                <w:rFonts w:hint="cs"/>
                                <w:color w:val="000000"/>
                                <w:w w:val="110"/>
                                <w:sz w:val="15"/>
                                <w:szCs w:val="15"/>
                              </w:rPr>
                              <w:t xml:space="preserve"> | e-ISSN </w:t>
                            </w:r>
                            <w:r w:rsidR="009E4505">
                              <w:rPr>
                                <w:color w:val="000000"/>
                                <w:w w:val="110"/>
                                <w:sz w:val="15"/>
                                <w:szCs w:val="15"/>
                              </w:rPr>
                              <w:t>0000</w:t>
                            </w:r>
                            <w:r w:rsidRPr="009506F7">
                              <w:rPr>
                                <w:color w:val="000000"/>
                                <w:w w:val="110"/>
                                <w:sz w:val="15"/>
                                <w:szCs w:val="15"/>
                              </w:rPr>
                              <w:t>-</w:t>
                            </w:r>
                            <w:r w:rsidR="009E4505">
                              <w:rPr>
                                <w:color w:val="000000"/>
                                <w:w w:val="110"/>
                                <w:sz w:val="15"/>
                                <w:szCs w:val="15"/>
                              </w:rPr>
                              <w:t>0000</w:t>
                            </w:r>
                            <w:r w:rsidRPr="00D53797">
                              <w:rPr>
                                <w:rFonts w:hint="cs"/>
                                <w:color w:val="000000"/>
                                <w:spacing w:val="1"/>
                                <w:w w:val="110"/>
                                <w:sz w:val="15"/>
                                <w:szCs w:val="15"/>
                              </w:rPr>
                              <w:t xml:space="preserve"> </w:t>
                            </w:r>
                            <w:hyperlink r:id="rId10"/>
                          </w:p>
                          <w:p w14:paraId="6B9C72C9" w14:textId="0E8177B6" w:rsidR="009D4A7B" w:rsidRPr="00C32A23" w:rsidRDefault="009E4505" w:rsidP="009D4A7B">
                            <w:pPr>
                              <w:spacing w:before="1"/>
                              <w:ind w:left="1" w:right="1"/>
                              <w:jc w:val="center"/>
                              <w:rPr>
                                <w:color w:val="000000"/>
                                <w:w w:val="110"/>
                                <w:sz w:val="22"/>
                                <w:szCs w:val="22"/>
                              </w:rPr>
                            </w:pPr>
                            <w:r w:rsidRPr="009E4505">
                              <w:rPr>
                                <w:color w:val="000000"/>
                                <w:w w:val="110"/>
                                <w:sz w:val="22"/>
                                <w:szCs w:val="22"/>
                              </w:rPr>
                              <w:t>Phoenix Journal of Social, Law, and Political Studies</w:t>
                            </w:r>
                          </w:p>
                          <w:p w14:paraId="6BEC6D0C" w14:textId="77777777" w:rsidR="009D4A7B" w:rsidRPr="00D53797" w:rsidRDefault="009D4A7B" w:rsidP="009D4A7B">
                            <w:pPr>
                              <w:spacing w:before="1"/>
                              <w:ind w:left="1" w:right="1"/>
                              <w:jc w:val="center"/>
                              <w:rPr>
                                <w:color w:val="000000"/>
                                <w:sz w:val="11"/>
                                <w:szCs w:val="8"/>
                              </w:rPr>
                            </w:pPr>
                          </w:p>
                          <w:p w14:paraId="68205214" w14:textId="0F71EF43" w:rsidR="009D4A7B" w:rsidRPr="00D53797" w:rsidRDefault="009D4A7B" w:rsidP="009D4A7B">
                            <w:pPr>
                              <w:pStyle w:val="BodyText"/>
                              <w:spacing w:before="1"/>
                              <w:ind w:left="1"/>
                              <w:jc w:val="center"/>
                              <w:rPr>
                                <w:color w:val="000000"/>
                                <w:sz w:val="15"/>
                                <w:szCs w:val="15"/>
                              </w:rPr>
                            </w:pPr>
                            <w:r w:rsidRPr="00D53797">
                              <w:rPr>
                                <w:rFonts w:hint="cs"/>
                                <w:color w:val="000000"/>
                                <w:w w:val="105"/>
                                <w:sz w:val="15"/>
                                <w:szCs w:val="15"/>
                              </w:rPr>
                              <w:t>journal</w:t>
                            </w:r>
                            <w:r w:rsidRPr="00D53797">
                              <w:rPr>
                                <w:rFonts w:hint="cs"/>
                                <w:color w:val="000000"/>
                                <w:spacing w:val="19"/>
                                <w:w w:val="105"/>
                                <w:sz w:val="15"/>
                                <w:szCs w:val="15"/>
                              </w:rPr>
                              <w:t xml:space="preserve"> </w:t>
                            </w:r>
                            <w:r w:rsidRPr="00D53797">
                              <w:rPr>
                                <w:rFonts w:hint="cs"/>
                                <w:color w:val="000000"/>
                                <w:w w:val="105"/>
                                <w:sz w:val="15"/>
                                <w:szCs w:val="15"/>
                              </w:rPr>
                              <w:t>homepage:</w:t>
                            </w:r>
                            <w:r w:rsidRPr="00D53797">
                              <w:rPr>
                                <w:rFonts w:hint="cs"/>
                                <w:color w:val="000000"/>
                                <w:spacing w:val="19"/>
                                <w:w w:val="105"/>
                                <w:sz w:val="15"/>
                                <w:szCs w:val="15"/>
                              </w:rPr>
                              <w:t xml:space="preserve"> </w:t>
                            </w:r>
                            <w:hyperlink r:id="rId11" w:history="1">
                              <w:r w:rsidR="00E33720" w:rsidRPr="00B61085">
                                <w:rPr>
                                  <w:rStyle w:val="Hyperlink"/>
                                  <w:sz w:val="15"/>
                                  <w:szCs w:val="15"/>
                                </w:rPr>
                                <w:t>https://jurnal.amertainstitute.com/index.php/phoenix</w:t>
                              </w:r>
                            </w:hyperlink>
                            <w:r w:rsidRPr="00D53797">
                              <w:rPr>
                                <w:rFonts w:hint="cs"/>
                                <w:sz w:val="15"/>
                                <w:szCs w:val="15"/>
                              </w:rPr>
                              <w:t xml:space="preserve"> </w:t>
                            </w:r>
                          </w:p>
                          <w:p w14:paraId="3AF9B8AF" w14:textId="77777777" w:rsidR="009D4A7B" w:rsidRDefault="009D4A7B" w:rsidP="009D4A7B"/>
                          <w:p w14:paraId="192EEF3D" w14:textId="77777777" w:rsidR="009D4A7B" w:rsidRPr="00C162F4" w:rsidRDefault="009D4A7B" w:rsidP="009D4A7B">
                            <w:pPr>
                              <w:pStyle w:val="BodyText"/>
                              <w:spacing w:after="0"/>
                              <w:ind w:left="1" w:right="1"/>
                              <w:jc w:val="center"/>
                              <w:rPr>
                                <w:rFonts w:ascii="Arial MT"/>
                                <w:color w:val="000000"/>
                                <w:sz w:val="20"/>
                                <w:szCs w:val="16"/>
                              </w:rPr>
                            </w:pPr>
                          </w:p>
                        </w:txbxContent>
                      </v:textbox>
                      <w10:wrap anchorx="page"/>
                    </v:shape>
                  </w:pict>
                </mc:Fallback>
              </mc:AlternateContent>
            </w:r>
          </w:p>
        </w:tc>
        <w:tc>
          <w:tcPr>
            <w:tcW w:w="5854" w:type="dxa"/>
            <w:tcBorders>
              <w:left w:val="nil"/>
              <w:right w:val="nil"/>
            </w:tcBorders>
          </w:tcPr>
          <w:p w14:paraId="5E4904D9" w14:textId="4EFC7C15" w:rsidR="00C162F4" w:rsidRPr="00824144" w:rsidRDefault="00C162F4" w:rsidP="00373E55">
            <w:pPr>
              <w:pStyle w:val="NormalWeb"/>
              <w:spacing w:before="0" w:beforeAutospacing="0" w:after="0" w:afterAutospacing="0" w:line="276" w:lineRule="auto"/>
              <w:jc w:val="both"/>
              <w:rPr>
                <w:rFonts w:ascii="Garamond" w:hAnsi="Garamond"/>
                <w:b/>
                <w:color w:val="000000" w:themeColor="text1"/>
                <w:sz w:val="32"/>
                <w:szCs w:val="32"/>
              </w:rPr>
            </w:pPr>
          </w:p>
        </w:tc>
        <w:tc>
          <w:tcPr>
            <w:tcW w:w="1417" w:type="dxa"/>
            <w:tcBorders>
              <w:left w:val="nil"/>
              <w:right w:val="nil"/>
            </w:tcBorders>
          </w:tcPr>
          <w:p w14:paraId="324BE45B" w14:textId="47311762" w:rsidR="00C162F4" w:rsidRPr="00824144" w:rsidRDefault="002D5541" w:rsidP="00373E55">
            <w:pPr>
              <w:pStyle w:val="NormalWeb"/>
              <w:spacing w:before="0" w:beforeAutospacing="0" w:after="0" w:afterAutospacing="0" w:line="276" w:lineRule="auto"/>
              <w:jc w:val="both"/>
              <w:rPr>
                <w:rFonts w:ascii="Garamond" w:hAnsi="Garamond"/>
                <w:b/>
                <w:color w:val="000000" w:themeColor="text1"/>
                <w:sz w:val="32"/>
                <w:szCs w:val="32"/>
              </w:rPr>
            </w:pPr>
            <w:r>
              <w:rPr>
                <w:rFonts w:ascii="Garamond" w:hAnsi="Garamond"/>
                <w:b/>
                <w:noProof/>
                <w:color w:val="000000" w:themeColor="text1"/>
                <w:sz w:val="32"/>
                <w:szCs w:val="32"/>
              </w:rPr>
              <w:drawing>
                <wp:anchor distT="0" distB="0" distL="114300" distR="114300" simplePos="0" relativeHeight="251673600" behindDoc="1" locked="0" layoutInCell="1" allowOverlap="1" wp14:anchorId="680747B8" wp14:editId="6FE3CC80">
                  <wp:simplePos x="0" y="0"/>
                  <wp:positionH relativeFrom="column">
                    <wp:posOffset>-44450</wp:posOffset>
                  </wp:positionH>
                  <wp:positionV relativeFrom="paragraph">
                    <wp:posOffset>26404</wp:posOffset>
                  </wp:positionV>
                  <wp:extent cx="872007" cy="997792"/>
                  <wp:effectExtent l="0" t="0" r="4445" b="5715"/>
                  <wp:wrapNone/>
                  <wp:docPr id="2038280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80039" name="Picture 203828003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2007" cy="997792"/>
                          </a:xfrm>
                          <a:prstGeom prst="rect">
                            <a:avLst/>
                          </a:prstGeom>
                        </pic:spPr>
                      </pic:pic>
                    </a:graphicData>
                  </a:graphic>
                  <wp14:sizeRelH relativeFrom="page">
                    <wp14:pctWidth>0</wp14:pctWidth>
                  </wp14:sizeRelH>
                  <wp14:sizeRelV relativeFrom="page">
                    <wp14:pctHeight>0</wp14:pctHeight>
                  </wp14:sizeRelV>
                </wp:anchor>
              </w:drawing>
            </w:r>
          </w:p>
        </w:tc>
      </w:tr>
    </w:tbl>
    <w:p w14:paraId="13D6A7C3" w14:textId="2A8DF73E" w:rsidR="00C162F4" w:rsidRPr="00824144" w:rsidRDefault="009D4A7B" w:rsidP="00373E55">
      <w:pPr>
        <w:pStyle w:val="NormalWeb"/>
        <w:spacing w:before="0" w:beforeAutospacing="0" w:after="0" w:afterAutospacing="0" w:line="276" w:lineRule="auto"/>
        <w:jc w:val="both"/>
        <w:rPr>
          <w:rFonts w:ascii="Garamond" w:hAnsi="Garamond"/>
          <w:b/>
          <w:color w:val="000000" w:themeColor="text1"/>
          <w:sz w:val="32"/>
          <w:szCs w:val="32"/>
        </w:rPr>
      </w:pPr>
      <w:r w:rsidRPr="00824144">
        <w:rPr>
          <w:rFonts w:ascii="Garamond" w:hAnsi="Garamond"/>
          <w:b/>
          <w:noProof/>
          <w:color w:val="000000" w:themeColor="text1"/>
          <w:sz w:val="32"/>
          <w:szCs w:val="32"/>
        </w:rPr>
        <w:drawing>
          <wp:anchor distT="0" distB="0" distL="114300" distR="114300" simplePos="0" relativeHeight="251670528" behindDoc="1" locked="0" layoutInCell="1" allowOverlap="1" wp14:anchorId="2DC8E3BC" wp14:editId="3C88EA44">
            <wp:simplePos x="0" y="0"/>
            <wp:positionH relativeFrom="column">
              <wp:posOffset>-118555</wp:posOffset>
            </wp:positionH>
            <wp:positionV relativeFrom="paragraph">
              <wp:posOffset>-1034415</wp:posOffset>
            </wp:positionV>
            <wp:extent cx="1256030" cy="1044575"/>
            <wp:effectExtent l="0" t="0" r="1270" b="0"/>
            <wp:wrapNone/>
            <wp:docPr id="3011808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80812" name="Picture 301180812"/>
                    <pic:cNvPicPr/>
                  </pic:nvPicPr>
                  <pic:blipFill rotWithShape="1">
                    <a:blip r:embed="rId13">
                      <a:extLst>
                        <a:ext uri="{28A0092B-C50C-407E-A947-70E740481C1C}">
                          <a14:useLocalDpi xmlns:a14="http://schemas.microsoft.com/office/drawing/2010/main" val="0"/>
                        </a:ext>
                      </a:extLst>
                    </a:blip>
                    <a:srcRect l="4041" t="3745" r="7744" b="5496"/>
                    <a:stretch>
                      <a:fillRect/>
                    </a:stretch>
                  </pic:blipFill>
                  <pic:spPr bwMode="auto">
                    <a:xfrm>
                      <a:off x="0" y="0"/>
                      <a:ext cx="1256030"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6DEB96" w14:textId="77777777" w:rsidR="001833B5" w:rsidRDefault="001833B5" w:rsidP="00F8470F">
      <w:pPr>
        <w:pStyle w:val="NormalWeb"/>
        <w:spacing w:before="0" w:beforeAutospacing="0" w:after="0" w:afterAutospacing="0"/>
        <w:jc w:val="both"/>
        <w:rPr>
          <w:rFonts w:ascii="Garamond" w:hAnsi="Garamond"/>
          <w:b/>
          <w:color w:val="002060"/>
          <w:sz w:val="32"/>
          <w:szCs w:val="32"/>
        </w:rPr>
      </w:pPr>
      <w:r w:rsidRPr="001833B5">
        <w:rPr>
          <w:rFonts w:ascii="Garamond" w:hAnsi="Garamond"/>
          <w:b/>
          <w:color w:val="002060"/>
          <w:sz w:val="32"/>
          <w:szCs w:val="32"/>
        </w:rPr>
        <w:t>The Role of Legal Sociology in Advancing Social Justice in Society</w:t>
      </w:r>
    </w:p>
    <w:p w14:paraId="400278B3" w14:textId="77777777" w:rsidR="00F8470F" w:rsidRPr="00824144" w:rsidRDefault="00F8470F" w:rsidP="00F8470F">
      <w:pPr>
        <w:pStyle w:val="NormalWeb"/>
        <w:spacing w:before="0" w:beforeAutospacing="0" w:after="0" w:afterAutospacing="0"/>
        <w:rPr>
          <w:rStyle w:val="Strong"/>
          <w:rFonts w:ascii="Garamond" w:hAnsi="Garamond"/>
          <w:sz w:val="16"/>
          <w:szCs w:val="16"/>
        </w:rPr>
      </w:pPr>
    </w:p>
    <w:p w14:paraId="041A2400" w14:textId="77777777" w:rsidR="00BC4FF2" w:rsidRDefault="00BC4FF2" w:rsidP="00F8470F">
      <w:pPr>
        <w:pStyle w:val="NormalWeb"/>
        <w:spacing w:before="0" w:beforeAutospacing="0" w:after="0" w:afterAutospacing="0"/>
        <w:rPr>
          <w:rStyle w:val="Strong"/>
          <w:rFonts w:ascii="Garamond" w:hAnsi="Garamond"/>
          <w:sz w:val="20"/>
          <w:szCs w:val="20"/>
        </w:rPr>
      </w:pPr>
      <w:r w:rsidRPr="00BC4FF2">
        <w:rPr>
          <w:rStyle w:val="Strong"/>
          <w:rFonts w:ascii="Garamond" w:hAnsi="Garamond"/>
          <w:sz w:val="20"/>
          <w:szCs w:val="20"/>
        </w:rPr>
        <w:t>Riyan Adnan Wahyudi</w:t>
      </w:r>
      <w:r w:rsidRPr="00BC4FF2">
        <w:rPr>
          <w:rStyle w:val="Strong"/>
          <w:rFonts w:ascii="Garamond" w:hAnsi="Garamond"/>
          <w:sz w:val="20"/>
          <w:szCs w:val="20"/>
          <w:vertAlign w:val="superscript"/>
        </w:rPr>
        <w:t>1</w:t>
      </w:r>
      <w:r w:rsidRPr="00BC4FF2">
        <w:rPr>
          <w:rStyle w:val="Strong"/>
          <w:rFonts w:ascii="Garamond" w:hAnsi="Garamond"/>
          <w:sz w:val="20"/>
          <w:szCs w:val="20"/>
        </w:rPr>
        <w:t>, Amirullah</w:t>
      </w:r>
      <w:r w:rsidRPr="00BC4FF2">
        <w:rPr>
          <w:rStyle w:val="Strong"/>
          <w:rFonts w:ascii="Garamond" w:hAnsi="Garamond"/>
          <w:sz w:val="20"/>
          <w:szCs w:val="20"/>
          <w:vertAlign w:val="superscript"/>
        </w:rPr>
        <w:t>2</w:t>
      </w:r>
      <w:r w:rsidRPr="00BC4FF2">
        <w:rPr>
          <w:rStyle w:val="Strong"/>
          <w:rFonts w:ascii="Garamond" w:hAnsi="Garamond"/>
          <w:sz w:val="20"/>
          <w:szCs w:val="20"/>
        </w:rPr>
        <w:t>, Muh. Ramli</w:t>
      </w:r>
      <w:r w:rsidRPr="00BC4FF2">
        <w:rPr>
          <w:rStyle w:val="Strong"/>
          <w:rFonts w:ascii="Garamond" w:hAnsi="Garamond"/>
          <w:sz w:val="20"/>
          <w:szCs w:val="20"/>
          <w:vertAlign w:val="superscript"/>
        </w:rPr>
        <w:t>3</w:t>
      </w:r>
      <w:r w:rsidRPr="00BC4FF2">
        <w:rPr>
          <w:rStyle w:val="Strong"/>
          <w:rFonts w:ascii="Garamond" w:hAnsi="Garamond"/>
          <w:sz w:val="20"/>
          <w:szCs w:val="20"/>
        </w:rPr>
        <w:t>, Aslan Syah Mattulanreng</w:t>
      </w:r>
      <w:r w:rsidRPr="00BC4FF2">
        <w:rPr>
          <w:rStyle w:val="Strong"/>
          <w:rFonts w:ascii="Garamond" w:hAnsi="Garamond"/>
          <w:sz w:val="20"/>
          <w:szCs w:val="20"/>
          <w:vertAlign w:val="superscript"/>
        </w:rPr>
        <w:t>4</w:t>
      </w:r>
    </w:p>
    <w:p w14:paraId="7CFD35DC" w14:textId="77777777" w:rsidR="00FF14F7" w:rsidRDefault="00FF14F7" w:rsidP="00F8470F">
      <w:pPr>
        <w:pStyle w:val="NormalWeb"/>
        <w:spacing w:before="0" w:beforeAutospacing="0" w:after="0" w:afterAutospacing="0"/>
        <w:rPr>
          <w:rFonts w:ascii="Garamond" w:hAnsi="Garamond"/>
          <w:sz w:val="16"/>
          <w:szCs w:val="16"/>
        </w:rPr>
      </w:pPr>
      <w:r w:rsidRPr="00FF14F7">
        <w:rPr>
          <w:rFonts w:ascii="Garamond" w:hAnsi="Garamond"/>
          <w:sz w:val="16"/>
          <w:szCs w:val="16"/>
        </w:rPr>
        <w:t xml:space="preserve">Master of Laws Program, Universitas </w:t>
      </w:r>
      <w:proofErr w:type="spellStart"/>
      <w:r w:rsidRPr="00FF14F7">
        <w:rPr>
          <w:rFonts w:ascii="Garamond" w:hAnsi="Garamond"/>
          <w:sz w:val="16"/>
          <w:szCs w:val="16"/>
        </w:rPr>
        <w:t>Tomakaka</w:t>
      </w:r>
      <w:proofErr w:type="spellEnd"/>
      <w:r w:rsidRPr="00FF14F7">
        <w:rPr>
          <w:rFonts w:ascii="Garamond" w:hAnsi="Garamond"/>
          <w:sz w:val="16"/>
          <w:szCs w:val="16"/>
        </w:rPr>
        <w:t xml:space="preserve"> </w:t>
      </w:r>
      <w:proofErr w:type="spellStart"/>
      <w:r w:rsidRPr="00FF14F7">
        <w:rPr>
          <w:rFonts w:ascii="Garamond" w:hAnsi="Garamond"/>
          <w:sz w:val="16"/>
          <w:szCs w:val="16"/>
        </w:rPr>
        <w:t>Mamuju</w:t>
      </w:r>
      <w:proofErr w:type="spellEnd"/>
    </w:p>
    <w:p w14:paraId="156D694D" w14:textId="5FD356B1" w:rsidR="00F8470F" w:rsidRPr="00824144" w:rsidRDefault="00F8470F" w:rsidP="00F8470F">
      <w:pPr>
        <w:pStyle w:val="NormalWeb"/>
        <w:spacing w:before="0" w:beforeAutospacing="0" w:after="0" w:afterAutospacing="0"/>
        <w:rPr>
          <w:rFonts w:ascii="Garamond" w:hAnsi="Garamond"/>
          <w:sz w:val="16"/>
          <w:szCs w:val="16"/>
        </w:rPr>
      </w:pPr>
      <w:r w:rsidRPr="00824144">
        <w:rPr>
          <w:rFonts w:ascii="Garamond" w:hAnsi="Garamond"/>
          <w:sz w:val="16"/>
          <w:szCs w:val="16"/>
        </w:rPr>
        <w:t xml:space="preserve">Email: </w:t>
      </w:r>
      <w:hyperlink r:id="rId14" w:history="1">
        <w:r w:rsidR="00391045" w:rsidRPr="00B61085">
          <w:rPr>
            <w:rStyle w:val="Hyperlink"/>
            <w:rFonts w:ascii="Garamond" w:hAnsi="Garamond"/>
            <w:sz w:val="16"/>
            <w:szCs w:val="16"/>
          </w:rPr>
          <w:t>indonesiaindonesia55@gmail.com</w:t>
        </w:r>
      </w:hyperlink>
      <w:r w:rsidR="00391045" w:rsidRPr="00391045">
        <w:rPr>
          <w:rFonts w:ascii="Garamond" w:hAnsi="Garamond"/>
          <w:sz w:val="16"/>
          <w:szCs w:val="16"/>
        </w:rPr>
        <w:t>;</w:t>
      </w:r>
      <w:r w:rsidR="00391045">
        <w:rPr>
          <w:rFonts w:ascii="Garamond" w:hAnsi="Garamond"/>
          <w:sz w:val="16"/>
          <w:szCs w:val="16"/>
        </w:rPr>
        <w:t xml:space="preserve"> </w:t>
      </w:r>
      <w:hyperlink r:id="rId15" w:history="1">
        <w:r w:rsidR="00AF63FF" w:rsidRPr="00B61085">
          <w:rPr>
            <w:rStyle w:val="Hyperlink"/>
            <w:rFonts w:ascii="Garamond" w:hAnsi="Garamond"/>
            <w:sz w:val="16"/>
            <w:szCs w:val="16"/>
          </w:rPr>
          <w:t>amirkaton3131@gmail.com</w:t>
        </w:r>
      </w:hyperlink>
      <w:r w:rsidR="00391045" w:rsidRPr="00391045">
        <w:rPr>
          <w:rFonts w:ascii="Garamond" w:hAnsi="Garamond"/>
          <w:sz w:val="16"/>
          <w:szCs w:val="16"/>
        </w:rPr>
        <w:t>;</w:t>
      </w:r>
      <w:r w:rsidR="00391045">
        <w:rPr>
          <w:rFonts w:ascii="Garamond" w:hAnsi="Garamond"/>
          <w:sz w:val="16"/>
          <w:szCs w:val="16"/>
        </w:rPr>
        <w:t xml:space="preserve"> </w:t>
      </w:r>
      <w:hyperlink r:id="rId16" w:history="1">
        <w:r w:rsidR="00391045" w:rsidRPr="00B61085">
          <w:rPr>
            <w:rStyle w:val="Hyperlink"/>
            <w:rFonts w:ascii="Garamond" w:hAnsi="Garamond"/>
            <w:sz w:val="16"/>
            <w:szCs w:val="16"/>
          </w:rPr>
          <w:t>muh.ramli124@gmail.com</w:t>
        </w:r>
      </w:hyperlink>
      <w:r w:rsidR="00391045" w:rsidRPr="00391045">
        <w:rPr>
          <w:rFonts w:ascii="Garamond" w:hAnsi="Garamond"/>
          <w:sz w:val="16"/>
          <w:szCs w:val="16"/>
        </w:rPr>
        <w:t>;</w:t>
      </w:r>
      <w:r w:rsidR="00391045">
        <w:rPr>
          <w:rFonts w:ascii="Garamond" w:hAnsi="Garamond"/>
          <w:sz w:val="16"/>
          <w:szCs w:val="16"/>
        </w:rPr>
        <w:t xml:space="preserve"> </w:t>
      </w:r>
      <w:hyperlink r:id="rId17" w:history="1">
        <w:r w:rsidR="00391045" w:rsidRPr="00B61085">
          <w:rPr>
            <w:rStyle w:val="Hyperlink"/>
            <w:rFonts w:ascii="Garamond" w:hAnsi="Garamond"/>
            <w:sz w:val="16"/>
            <w:szCs w:val="16"/>
          </w:rPr>
          <w:t>aslansyahmattulanrengaslan@gmail.com</w:t>
        </w:r>
      </w:hyperlink>
      <w:r w:rsidR="00391045">
        <w:rPr>
          <w:rFonts w:ascii="Garamond" w:hAnsi="Garamond"/>
          <w:sz w:val="16"/>
          <w:szCs w:val="16"/>
        </w:rPr>
        <w:t xml:space="preserve"> </w:t>
      </w:r>
    </w:p>
    <w:p w14:paraId="216D5EB4" w14:textId="77777777" w:rsidR="00F8470F" w:rsidRPr="00824144" w:rsidRDefault="00F8470F" w:rsidP="00F8470F">
      <w:pPr>
        <w:pStyle w:val="PageNumber1"/>
        <w:jc w:val="both"/>
        <w:rPr>
          <w:rFonts w:ascii="Garamond" w:hAnsi="Garamond"/>
          <w:sz w:val="16"/>
          <w:szCs w:val="16"/>
          <w:lang w:val="id-ID"/>
        </w:rPr>
      </w:pPr>
    </w:p>
    <w:tbl>
      <w:tblPr>
        <w:tblStyle w:val="TableGrid"/>
        <w:tblW w:w="9639" w:type="dxa"/>
        <w:tblInd w:w="108" w:type="dxa"/>
        <w:tblLook w:val="04A0" w:firstRow="1" w:lastRow="0" w:firstColumn="1" w:lastColumn="0" w:noHBand="0" w:noVBand="1"/>
      </w:tblPr>
      <w:tblGrid>
        <w:gridCol w:w="2127"/>
        <w:gridCol w:w="283"/>
        <w:gridCol w:w="7229"/>
      </w:tblGrid>
      <w:tr w:rsidR="00F8470F" w:rsidRPr="00824144" w14:paraId="00C34800" w14:textId="77777777" w:rsidTr="001C146E">
        <w:trPr>
          <w:trHeight w:val="583"/>
        </w:trPr>
        <w:tc>
          <w:tcPr>
            <w:tcW w:w="2127" w:type="dxa"/>
            <w:tcBorders>
              <w:left w:val="nil"/>
              <w:bottom w:val="single" w:sz="4" w:space="0" w:color="auto"/>
              <w:right w:val="nil"/>
            </w:tcBorders>
          </w:tcPr>
          <w:p w14:paraId="7BD6EDEA" w14:textId="77777777" w:rsidR="00F8470F" w:rsidRPr="00824144" w:rsidRDefault="00F8470F" w:rsidP="001C146E">
            <w:pPr>
              <w:tabs>
                <w:tab w:val="left" w:pos="284"/>
              </w:tabs>
              <w:ind w:left="-114"/>
              <w:rPr>
                <w:rFonts w:ascii="Garamond" w:hAnsi="Garamond"/>
                <w:bCs/>
                <w:lang w:val="id-ID"/>
              </w:rPr>
            </w:pPr>
          </w:p>
          <w:p w14:paraId="7F7211A1" w14:textId="77777777" w:rsidR="00F8470F" w:rsidRPr="00824144" w:rsidRDefault="00F8470F" w:rsidP="001C146E">
            <w:pPr>
              <w:tabs>
                <w:tab w:val="left" w:pos="284"/>
              </w:tabs>
              <w:ind w:left="-114"/>
              <w:rPr>
                <w:rFonts w:ascii="Garamond" w:hAnsi="Garamond"/>
                <w:bCs/>
                <w:lang w:val="id-ID"/>
              </w:rPr>
            </w:pPr>
            <w:r w:rsidRPr="00824144">
              <w:rPr>
                <w:rFonts w:ascii="Garamond" w:hAnsi="Garamond"/>
                <w:bCs/>
              </w:rPr>
              <w:t>A R T I C L E   I N F O</w:t>
            </w:r>
          </w:p>
        </w:tc>
        <w:tc>
          <w:tcPr>
            <w:tcW w:w="283" w:type="dxa"/>
            <w:tcBorders>
              <w:left w:val="nil"/>
              <w:bottom w:val="nil"/>
              <w:right w:val="nil"/>
            </w:tcBorders>
          </w:tcPr>
          <w:p w14:paraId="561B55C8" w14:textId="77777777" w:rsidR="00F8470F" w:rsidRPr="00824144" w:rsidRDefault="00F8470F" w:rsidP="001C146E">
            <w:pPr>
              <w:tabs>
                <w:tab w:val="left" w:pos="284"/>
              </w:tabs>
              <w:rPr>
                <w:rFonts w:ascii="Garamond" w:hAnsi="Garamond"/>
                <w:bCs/>
                <w:lang w:val="id-ID"/>
              </w:rPr>
            </w:pPr>
          </w:p>
        </w:tc>
        <w:tc>
          <w:tcPr>
            <w:tcW w:w="7229" w:type="dxa"/>
            <w:tcBorders>
              <w:left w:val="nil"/>
              <w:bottom w:val="single" w:sz="4" w:space="0" w:color="auto"/>
              <w:right w:val="nil"/>
            </w:tcBorders>
          </w:tcPr>
          <w:p w14:paraId="71B6C314" w14:textId="77777777" w:rsidR="00F8470F" w:rsidRPr="00824144" w:rsidRDefault="00F8470F" w:rsidP="001C146E">
            <w:pPr>
              <w:tabs>
                <w:tab w:val="left" w:pos="284"/>
              </w:tabs>
              <w:rPr>
                <w:rFonts w:ascii="Garamond" w:hAnsi="Garamond"/>
                <w:bCs/>
                <w:lang w:val="id-ID"/>
              </w:rPr>
            </w:pPr>
          </w:p>
          <w:p w14:paraId="0B66C5EA" w14:textId="77777777" w:rsidR="00F8470F" w:rsidRPr="00824144" w:rsidRDefault="00F8470F" w:rsidP="001C146E">
            <w:pPr>
              <w:autoSpaceDE w:val="0"/>
              <w:ind w:right="14"/>
              <w:jc w:val="both"/>
              <w:rPr>
                <w:rFonts w:ascii="Garamond" w:hAnsi="Garamond"/>
                <w:bCs/>
                <w:color w:val="0070C0"/>
                <w:lang w:val="id-ID"/>
              </w:rPr>
            </w:pPr>
            <w:r w:rsidRPr="00824144">
              <w:rPr>
                <w:rFonts w:ascii="Garamond" w:hAnsi="Garamond"/>
                <w:bCs/>
              </w:rPr>
              <w:t>A B S T R A C T</w:t>
            </w:r>
          </w:p>
        </w:tc>
      </w:tr>
      <w:tr w:rsidR="00F8470F" w:rsidRPr="00824144" w14:paraId="7A7295DF" w14:textId="77777777" w:rsidTr="001C146E">
        <w:trPr>
          <w:trHeight w:val="2142"/>
        </w:trPr>
        <w:tc>
          <w:tcPr>
            <w:tcW w:w="2127" w:type="dxa"/>
            <w:tcBorders>
              <w:left w:val="nil"/>
              <w:right w:val="nil"/>
            </w:tcBorders>
          </w:tcPr>
          <w:p w14:paraId="5EADDEFF" w14:textId="6CCFCDB6" w:rsidR="00F8470F" w:rsidRPr="00824144" w:rsidRDefault="00F8470F" w:rsidP="001C146E">
            <w:pPr>
              <w:autoSpaceDE w:val="0"/>
              <w:ind w:left="-114" w:right="14"/>
              <w:rPr>
                <w:rFonts w:ascii="Garamond" w:hAnsi="Garamond"/>
                <w:bCs/>
                <w:color w:val="000000" w:themeColor="text1"/>
              </w:rPr>
            </w:pPr>
            <w:r w:rsidRPr="00824144">
              <w:rPr>
                <w:rFonts w:ascii="Garamond" w:hAnsi="Garamond"/>
                <w:bCs/>
                <w:color w:val="000000" w:themeColor="text1"/>
              </w:rPr>
              <w:t>Keywords</w:t>
            </w:r>
            <w:r w:rsidR="003F5B7A">
              <w:rPr>
                <w:rFonts w:ascii="Garamond" w:hAnsi="Garamond"/>
                <w:bCs/>
                <w:color w:val="000000" w:themeColor="text1"/>
              </w:rPr>
              <w:t>:</w:t>
            </w:r>
          </w:p>
          <w:p w14:paraId="68526DFC" w14:textId="346F996E" w:rsidR="00F8470F" w:rsidRPr="00824144" w:rsidRDefault="00EF47ED" w:rsidP="001C146E">
            <w:pPr>
              <w:tabs>
                <w:tab w:val="left" w:pos="284"/>
              </w:tabs>
              <w:ind w:left="-114"/>
              <w:rPr>
                <w:rFonts w:ascii="Garamond" w:hAnsi="Garamond"/>
                <w:b/>
                <w:lang w:val="id-ID"/>
              </w:rPr>
            </w:pPr>
            <w:r w:rsidRPr="00EF47ED">
              <w:rPr>
                <w:rFonts w:ascii="Garamond" w:hAnsi="Garamond"/>
                <w:bCs/>
                <w:color w:val="000000" w:themeColor="text1"/>
              </w:rPr>
              <w:t>Legal Sociology, Social Justice, Socio-Legal Approach, Legal Responsiveness, Access to Justice</w:t>
            </w:r>
          </w:p>
        </w:tc>
        <w:tc>
          <w:tcPr>
            <w:tcW w:w="283" w:type="dxa"/>
            <w:vMerge w:val="restart"/>
            <w:tcBorders>
              <w:top w:val="nil"/>
              <w:left w:val="nil"/>
              <w:right w:val="nil"/>
            </w:tcBorders>
          </w:tcPr>
          <w:p w14:paraId="3D525ABA" w14:textId="77777777" w:rsidR="00F8470F" w:rsidRPr="00824144" w:rsidRDefault="00F8470F" w:rsidP="001C146E">
            <w:pPr>
              <w:tabs>
                <w:tab w:val="left" w:pos="284"/>
              </w:tabs>
              <w:rPr>
                <w:rFonts w:ascii="Garamond" w:hAnsi="Garamond"/>
                <w:b/>
                <w:lang w:val="id-ID"/>
              </w:rPr>
            </w:pPr>
          </w:p>
        </w:tc>
        <w:tc>
          <w:tcPr>
            <w:tcW w:w="7229" w:type="dxa"/>
            <w:vMerge w:val="restart"/>
            <w:tcBorders>
              <w:left w:val="nil"/>
              <w:right w:val="nil"/>
            </w:tcBorders>
          </w:tcPr>
          <w:p w14:paraId="1805DDBC" w14:textId="77777777" w:rsidR="00F8470F" w:rsidRDefault="00AF63FF" w:rsidP="001C146E">
            <w:pPr>
              <w:autoSpaceDE w:val="0"/>
              <w:ind w:right="-109"/>
              <w:jc w:val="both"/>
              <w:rPr>
                <w:rFonts w:ascii="Garamond" w:hAnsi="Garamond"/>
                <w:color w:val="000000" w:themeColor="text1"/>
              </w:rPr>
            </w:pPr>
            <w:r w:rsidRPr="00AF63FF">
              <w:rPr>
                <w:rFonts w:ascii="Garamond" w:hAnsi="Garamond"/>
                <w:color w:val="000000" w:themeColor="text1"/>
              </w:rPr>
              <w:t>Legal sociology examines the reciprocal relationship between law and society and provides an important perspective for understanding the role of law in addressing social realities. In social life, law functions not only as a set of written rules but also as an instrument for promoting social justice, which requires fair treatment for all segments of society without discrimination. This article aimed to analyze the role of legal sociology in understanding how law can contribute to the realization of social justice through an approach that considers the social, cultural, and economic conditions of society. The study employed a normative legal research method with a socio-legal approach to examine the relationship between legal norms and social conditions. The analysis focused on how legal rules operate within society and how social realities influence the implementation and effectiveness of law in achieving justice. The findings showed that a just legal system is one that responds to the needs and changing conditions of society, protects vulnerable groups, and ensures equal access to justice. The discussion further indicated that understanding the social dimensions of law is essential for developing legal policies and practices that are more responsive and inclusive. This study contributes to the understanding of legal sociology as an important framework for strengthening the relationship between legal norms and social realities. In practical and policy terms, the findings suggest that the development and implementation of law should consider social, cultural, and economic conditions to promote substantive social justice.</w:t>
            </w:r>
          </w:p>
          <w:p w14:paraId="1BCBF494" w14:textId="6689C0DA" w:rsidR="00AF63FF" w:rsidRPr="00824144" w:rsidRDefault="00AF63FF" w:rsidP="001C146E">
            <w:pPr>
              <w:autoSpaceDE w:val="0"/>
              <w:ind w:right="-109"/>
              <w:jc w:val="both"/>
              <w:rPr>
                <w:rFonts w:ascii="Garamond" w:hAnsi="Garamond"/>
                <w:color w:val="0070C0"/>
              </w:rPr>
            </w:pPr>
          </w:p>
        </w:tc>
      </w:tr>
      <w:tr w:rsidR="00F8470F" w:rsidRPr="00824144" w14:paraId="0A790D98" w14:textId="77777777" w:rsidTr="001C146E">
        <w:trPr>
          <w:trHeight w:val="1968"/>
        </w:trPr>
        <w:tc>
          <w:tcPr>
            <w:tcW w:w="2127" w:type="dxa"/>
            <w:tcBorders>
              <w:left w:val="nil"/>
              <w:right w:val="nil"/>
            </w:tcBorders>
          </w:tcPr>
          <w:p w14:paraId="18EC907D" w14:textId="77777777" w:rsidR="00F8470F" w:rsidRPr="00824144" w:rsidRDefault="00F8470F" w:rsidP="001C146E">
            <w:pPr>
              <w:tabs>
                <w:tab w:val="left" w:pos="284"/>
              </w:tabs>
              <w:spacing w:line="276" w:lineRule="auto"/>
              <w:ind w:left="-114"/>
              <w:rPr>
                <w:rFonts w:ascii="Garamond" w:hAnsi="Garamond"/>
                <w:bCs/>
                <w:color w:val="000000" w:themeColor="text1"/>
              </w:rPr>
            </w:pPr>
            <w:r w:rsidRPr="00824144">
              <w:rPr>
                <w:rFonts w:ascii="Garamond" w:hAnsi="Garamond"/>
                <w:bCs/>
                <w:color w:val="000000" w:themeColor="text1"/>
              </w:rPr>
              <w:t xml:space="preserve">Received: xx Month 202x </w:t>
            </w:r>
          </w:p>
          <w:p w14:paraId="466FC448" w14:textId="77777777" w:rsidR="00F8470F" w:rsidRPr="00824144" w:rsidRDefault="00F8470F" w:rsidP="001C146E">
            <w:pPr>
              <w:tabs>
                <w:tab w:val="left" w:pos="284"/>
              </w:tabs>
              <w:spacing w:line="276" w:lineRule="auto"/>
              <w:ind w:left="-114"/>
              <w:rPr>
                <w:rFonts w:ascii="Garamond" w:hAnsi="Garamond"/>
                <w:bCs/>
                <w:color w:val="000000" w:themeColor="text1"/>
              </w:rPr>
            </w:pPr>
            <w:r w:rsidRPr="00824144">
              <w:rPr>
                <w:rFonts w:ascii="Garamond" w:hAnsi="Garamond"/>
                <w:bCs/>
                <w:color w:val="000000" w:themeColor="text1"/>
              </w:rPr>
              <w:t xml:space="preserve">Revised: xx Month 202x </w:t>
            </w:r>
          </w:p>
          <w:p w14:paraId="48C9D2D3" w14:textId="75CF8532" w:rsidR="00F8470F" w:rsidRPr="00824144" w:rsidRDefault="00F8470F" w:rsidP="001C146E">
            <w:pPr>
              <w:tabs>
                <w:tab w:val="left" w:pos="284"/>
              </w:tabs>
              <w:spacing w:line="276" w:lineRule="auto"/>
              <w:ind w:left="-114"/>
              <w:rPr>
                <w:rFonts w:ascii="Garamond" w:hAnsi="Garamond"/>
                <w:bCs/>
                <w:color w:val="000000" w:themeColor="text1"/>
              </w:rPr>
            </w:pPr>
            <w:r w:rsidRPr="00824144">
              <w:rPr>
                <w:rFonts w:ascii="Garamond" w:hAnsi="Garamond"/>
                <w:bCs/>
                <w:color w:val="000000" w:themeColor="text1"/>
              </w:rPr>
              <w:t xml:space="preserve">Accepted: xx Month 202x </w:t>
            </w:r>
            <w:r w:rsidRPr="00824144">
              <w:rPr>
                <w:rFonts w:ascii="Garamond" w:hAnsi="Garamond"/>
                <w:color w:val="0070C0"/>
              </w:rPr>
              <w:t>[</w:t>
            </w:r>
            <w:r w:rsidR="0018073D" w:rsidRPr="00824144">
              <w:rPr>
                <w:rStyle w:val="Emphasis"/>
                <w:rFonts w:ascii="Garamond" w:hAnsi="Garamond"/>
                <w:i w:val="0"/>
                <w:iCs w:val="0"/>
                <w:color w:val="0070C0"/>
              </w:rPr>
              <w:t>Garamond</w:t>
            </w:r>
            <w:r w:rsidRPr="00824144">
              <w:rPr>
                <w:rStyle w:val="Emphasis"/>
                <w:rFonts w:ascii="Garamond" w:hAnsi="Garamond"/>
                <w:i w:val="0"/>
                <w:iCs w:val="0"/>
                <w:color w:val="0070C0"/>
              </w:rPr>
              <w:t>, font size 10</w:t>
            </w:r>
            <w:r w:rsidRPr="00824144">
              <w:rPr>
                <w:rFonts w:ascii="Garamond" w:hAnsi="Garamond"/>
                <w:color w:val="0070C0"/>
              </w:rPr>
              <w:t>]</w:t>
            </w:r>
          </w:p>
        </w:tc>
        <w:tc>
          <w:tcPr>
            <w:tcW w:w="283" w:type="dxa"/>
            <w:vMerge/>
            <w:tcBorders>
              <w:left w:val="nil"/>
              <w:bottom w:val="nil"/>
              <w:right w:val="nil"/>
            </w:tcBorders>
          </w:tcPr>
          <w:p w14:paraId="01A9CC3C" w14:textId="77777777" w:rsidR="00F8470F" w:rsidRPr="00824144" w:rsidRDefault="00F8470F" w:rsidP="001C146E">
            <w:pPr>
              <w:tabs>
                <w:tab w:val="left" w:pos="284"/>
              </w:tabs>
              <w:spacing w:line="276" w:lineRule="auto"/>
              <w:rPr>
                <w:rFonts w:ascii="Garamond" w:hAnsi="Garamond"/>
                <w:b/>
                <w:lang w:val="id-ID"/>
              </w:rPr>
            </w:pPr>
          </w:p>
        </w:tc>
        <w:tc>
          <w:tcPr>
            <w:tcW w:w="7229" w:type="dxa"/>
            <w:vMerge/>
            <w:tcBorders>
              <w:left w:val="nil"/>
              <w:bottom w:val="single" w:sz="4" w:space="0" w:color="auto"/>
              <w:right w:val="nil"/>
            </w:tcBorders>
          </w:tcPr>
          <w:p w14:paraId="6A0CDCA1" w14:textId="77777777" w:rsidR="00F8470F" w:rsidRPr="00824144" w:rsidRDefault="00F8470F" w:rsidP="001C146E">
            <w:pPr>
              <w:autoSpaceDE w:val="0"/>
              <w:spacing w:line="276" w:lineRule="auto"/>
              <w:ind w:right="-109"/>
              <w:jc w:val="both"/>
              <w:rPr>
                <w:rFonts w:ascii="Garamond" w:hAnsi="Garamond"/>
                <w:color w:val="000000" w:themeColor="text1"/>
              </w:rPr>
            </w:pPr>
          </w:p>
        </w:tc>
      </w:tr>
    </w:tbl>
    <w:p w14:paraId="610B3DE2" w14:textId="77777777" w:rsidR="00F8470F" w:rsidRPr="00824144" w:rsidRDefault="00F8470F" w:rsidP="00F8470F">
      <w:pPr>
        <w:autoSpaceDE w:val="0"/>
        <w:spacing w:line="276" w:lineRule="auto"/>
        <w:ind w:right="14"/>
        <w:rPr>
          <w:rFonts w:ascii="Garamond" w:hAnsi="Garamond"/>
          <w:sz w:val="20"/>
          <w:lang w:val="id-ID"/>
        </w:rPr>
      </w:pPr>
    </w:p>
    <w:p w14:paraId="0751F3C0" w14:textId="77777777" w:rsidR="00F8470F" w:rsidRPr="00824144" w:rsidRDefault="00F8470F" w:rsidP="00F8470F">
      <w:pPr>
        <w:autoSpaceDE w:val="0"/>
        <w:spacing w:line="276" w:lineRule="auto"/>
        <w:ind w:right="14"/>
        <w:rPr>
          <w:rFonts w:ascii="Garamond" w:hAnsi="Garamond"/>
          <w:sz w:val="20"/>
          <w:lang w:val="id-ID"/>
        </w:rPr>
        <w:sectPr w:rsidR="00F8470F" w:rsidRPr="00824144" w:rsidSect="008D17DA">
          <w:headerReference w:type="default" r:id="rId18"/>
          <w:footerReference w:type="default" r:id="rId19"/>
          <w:pgSz w:w="11909" w:h="16834"/>
          <w:pgMar w:top="1134" w:right="1134" w:bottom="1134" w:left="1134" w:header="567" w:footer="720" w:gutter="0"/>
          <w:pgNumType w:start="47"/>
          <w:cols w:space="720"/>
          <w:docGrid w:linePitch="360"/>
        </w:sectPr>
      </w:pPr>
    </w:p>
    <w:p w14:paraId="6E00CEC2" w14:textId="1FD99CCD" w:rsidR="00F8470F" w:rsidRPr="00824144" w:rsidRDefault="00F8470F" w:rsidP="00F8470F">
      <w:pPr>
        <w:pStyle w:val="Heading1"/>
        <w:numPr>
          <w:ilvl w:val="0"/>
          <w:numId w:val="2"/>
        </w:numPr>
        <w:suppressAutoHyphens/>
        <w:spacing w:line="276" w:lineRule="auto"/>
        <w:ind w:left="274" w:hanging="274"/>
        <w:rPr>
          <w:rFonts w:ascii="Garamond" w:hAnsi="Garamond"/>
          <w:i w:val="0"/>
          <w:color w:val="0070C0"/>
          <w:sz w:val="22"/>
          <w:szCs w:val="22"/>
        </w:rPr>
      </w:pPr>
      <w:r w:rsidRPr="00824144">
        <w:rPr>
          <w:rFonts w:ascii="Garamond" w:hAnsi="Garamond"/>
          <w:i w:val="0"/>
          <w:color w:val="002060"/>
          <w:sz w:val="22"/>
          <w:szCs w:val="22"/>
        </w:rPr>
        <w:t xml:space="preserve">Introduction </w:t>
      </w:r>
    </w:p>
    <w:p w14:paraId="0EA01957" w14:textId="77777777" w:rsidR="007F0203" w:rsidRPr="007F0203" w:rsidRDefault="007F0203" w:rsidP="007F0203">
      <w:pPr>
        <w:pStyle w:val="isselectedend"/>
        <w:spacing w:before="0" w:beforeAutospacing="0" w:after="0" w:afterAutospacing="0" w:line="276" w:lineRule="auto"/>
        <w:ind w:firstLine="567"/>
        <w:jc w:val="both"/>
        <w:rPr>
          <w:rFonts w:ascii="Garamond" w:hAnsi="Garamond"/>
          <w:sz w:val="22"/>
          <w:szCs w:val="22"/>
        </w:rPr>
      </w:pPr>
      <w:r w:rsidRPr="007F0203">
        <w:rPr>
          <w:rFonts w:ascii="Garamond" w:hAnsi="Garamond"/>
          <w:sz w:val="22"/>
          <w:szCs w:val="22"/>
        </w:rPr>
        <w:t>Law is not merely a collection of formal rules but also a social norm that reflects and concretizes the values prevailing within a society. As a social institution, law develops in interaction with social realities and is therefore closely connected to the values, interests, and conditions of the communities in which it operates. This perspective is particularly important in contemporary societies, where social, cultural, economic, and institutional changes continuously influence the formation, implementation, and effectiveness of legal norms. Recent socio-legal scholarship emphasizes that legal change cannot be separated from broader socio-cultural transformation because law both responds to and shapes social relations (</w:t>
      </w:r>
      <w:proofErr w:type="spellStart"/>
      <w:r w:rsidRPr="007F0203">
        <w:rPr>
          <w:rFonts w:ascii="Garamond" w:hAnsi="Garamond"/>
          <w:sz w:val="22"/>
          <w:szCs w:val="22"/>
        </w:rPr>
        <w:t>Syarhan</w:t>
      </w:r>
      <w:proofErr w:type="spellEnd"/>
      <w:r w:rsidRPr="007F0203">
        <w:rPr>
          <w:rFonts w:ascii="Garamond" w:hAnsi="Garamond"/>
          <w:sz w:val="22"/>
          <w:szCs w:val="22"/>
        </w:rPr>
        <w:t xml:space="preserve">, 2021). Consequently, understanding law requires attention not only to legal texts but also to the social context </w:t>
      </w:r>
      <w:r w:rsidRPr="007F0203">
        <w:rPr>
          <w:rFonts w:ascii="Garamond" w:hAnsi="Garamond"/>
          <w:sz w:val="22"/>
          <w:szCs w:val="22"/>
        </w:rPr>
        <w:t>in which those texts are interpreted and implemented.</w:t>
      </w:r>
    </w:p>
    <w:p w14:paraId="2EF8D7A1" w14:textId="77777777" w:rsidR="007F0203" w:rsidRPr="007F0203" w:rsidRDefault="007F0203" w:rsidP="007F0203">
      <w:pPr>
        <w:pStyle w:val="isselectedend"/>
        <w:spacing w:before="0" w:beforeAutospacing="0" w:after="0" w:afterAutospacing="0" w:line="276" w:lineRule="auto"/>
        <w:ind w:firstLine="567"/>
        <w:jc w:val="both"/>
        <w:rPr>
          <w:rFonts w:ascii="Garamond" w:hAnsi="Garamond"/>
          <w:sz w:val="22"/>
          <w:szCs w:val="22"/>
        </w:rPr>
      </w:pPr>
      <w:r w:rsidRPr="007F0203">
        <w:rPr>
          <w:rFonts w:ascii="Garamond" w:hAnsi="Garamond"/>
          <w:sz w:val="22"/>
          <w:szCs w:val="22"/>
        </w:rPr>
        <w:t xml:space="preserve">This issue is particularly relevant in Indonesia, which constitutionally declares itself a state based on law. Article 1 paragraph (3) of the 1945 Constitution of the Republic of Indonesia provides that Indonesia is a state based on law. As a consequence, violations of law should be addressed through legal mechanisms, while disputes should be resolved according to applicable legal provisions. The existence of the Indonesian Penal Code and Criminal Procedure Code, however, does not automatically guarantee that law enforcement will correspond to society's expectations concerning justice, equality, and protection. The continuing discussion concerning weaknesses in law enforcement demonstrates that the existence of formal legal instruments alone is insufficient to ensure substantive justice. This concern is </w:t>
      </w:r>
      <w:r w:rsidRPr="007F0203">
        <w:rPr>
          <w:rFonts w:ascii="Garamond" w:hAnsi="Garamond"/>
          <w:sz w:val="22"/>
          <w:szCs w:val="22"/>
        </w:rPr>
        <w:lastRenderedPageBreak/>
        <w:t>consistent with previous studies indicating that weaknesses in legal enforcement may be associated with institutional supervision, legal culture, and the capacity of legal institutions to respond to social developments (Kusumo, 2021).</w:t>
      </w:r>
    </w:p>
    <w:p w14:paraId="1B74F7BC" w14:textId="77777777" w:rsidR="007F0203" w:rsidRPr="007F0203" w:rsidRDefault="007F0203" w:rsidP="007F0203">
      <w:pPr>
        <w:pStyle w:val="isselectedend"/>
        <w:spacing w:before="0" w:beforeAutospacing="0" w:after="0" w:afterAutospacing="0" w:line="276" w:lineRule="auto"/>
        <w:ind w:firstLine="567"/>
        <w:jc w:val="both"/>
        <w:rPr>
          <w:rFonts w:ascii="Garamond" w:hAnsi="Garamond"/>
          <w:sz w:val="22"/>
          <w:szCs w:val="22"/>
        </w:rPr>
      </w:pPr>
      <w:r w:rsidRPr="007F0203">
        <w:rPr>
          <w:rFonts w:ascii="Garamond" w:hAnsi="Garamond"/>
          <w:sz w:val="22"/>
          <w:szCs w:val="22"/>
        </w:rPr>
        <w:t>Social justice represents one of the fundamental objectives of law because legal systems are expected to establish a fair balance between rights and obligations and to protect citizens without discrimination. Nevertheless, the realization of social justice remains challenging when legal rules operate within unequal social and economic structures. Vulnerable and marginalized groups may experience greater difficulties in obtaining legal protection and accessing justice. Research on access to justice in Indonesia, for example, identifies structural barriers that can prevent vulnerable groups from effectively exercising their rights within the justice system (</w:t>
      </w:r>
      <w:proofErr w:type="spellStart"/>
      <w:r w:rsidRPr="007F0203">
        <w:rPr>
          <w:rFonts w:ascii="Garamond" w:hAnsi="Garamond"/>
          <w:sz w:val="22"/>
          <w:szCs w:val="22"/>
        </w:rPr>
        <w:t>Hijriani</w:t>
      </w:r>
      <w:proofErr w:type="spellEnd"/>
      <w:r w:rsidRPr="007F0203">
        <w:rPr>
          <w:rFonts w:ascii="Garamond" w:hAnsi="Garamond"/>
          <w:sz w:val="22"/>
          <w:szCs w:val="22"/>
        </w:rPr>
        <w:t xml:space="preserve"> &amp; Hasima, 2022). Such conditions demonstrate that legal equality at the normative level does not necessarily produce equality in practice. The distinction between </w:t>
      </w:r>
      <w:r w:rsidRPr="007F0203">
        <w:rPr>
          <w:rStyle w:val="Emphasis"/>
          <w:rFonts w:ascii="Garamond" w:hAnsi="Garamond"/>
          <w:sz w:val="22"/>
          <w:szCs w:val="22"/>
        </w:rPr>
        <w:t>law in the books</w:t>
      </w:r>
      <w:r w:rsidRPr="007F0203">
        <w:rPr>
          <w:rFonts w:ascii="Garamond" w:hAnsi="Garamond"/>
          <w:sz w:val="22"/>
          <w:szCs w:val="22"/>
        </w:rPr>
        <w:t xml:space="preserve"> and </w:t>
      </w:r>
      <w:r w:rsidRPr="007F0203">
        <w:rPr>
          <w:rStyle w:val="Emphasis"/>
          <w:rFonts w:ascii="Garamond" w:hAnsi="Garamond"/>
          <w:sz w:val="22"/>
          <w:szCs w:val="22"/>
        </w:rPr>
        <w:t>law in action</w:t>
      </w:r>
      <w:r w:rsidRPr="007F0203">
        <w:rPr>
          <w:rFonts w:ascii="Garamond" w:hAnsi="Garamond"/>
          <w:sz w:val="22"/>
          <w:szCs w:val="22"/>
        </w:rPr>
        <w:t xml:space="preserve"> therefore remains important for understanding whether legal norms actually produce fair outcomes in society.</w:t>
      </w:r>
    </w:p>
    <w:p w14:paraId="71509C45" w14:textId="77777777" w:rsidR="007F0203" w:rsidRPr="007F0203" w:rsidRDefault="007F0203" w:rsidP="007F0203">
      <w:pPr>
        <w:pStyle w:val="isselectedend"/>
        <w:spacing w:before="0" w:beforeAutospacing="0" w:after="0" w:afterAutospacing="0" w:line="276" w:lineRule="auto"/>
        <w:ind w:firstLine="567"/>
        <w:jc w:val="both"/>
        <w:rPr>
          <w:rFonts w:ascii="Garamond" w:hAnsi="Garamond"/>
          <w:sz w:val="22"/>
          <w:szCs w:val="22"/>
        </w:rPr>
      </w:pPr>
      <w:r w:rsidRPr="007F0203">
        <w:rPr>
          <w:rFonts w:ascii="Garamond" w:hAnsi="Garamond"/>
          <w:sz w:val="22"/>
          <w:szCs w:val="22"/>
        </w:rPr>
        <w:t>Legal sociology provides a framework for examining this relationship between formal legal norms and social realities. It views law as a social phenomenon and examines the reciprocal relationship between law and society, including how legal rules are created, implemented, accepted, challenged, or violated. From this perspective, the effectiveness of law is influenced not only by the quality of legislation but also by legal awareness, legal culture, institutional capacity, social structures, economic conditions, and relations of power. Contemporary research on socio-cultural and legal change in Indonesia similarly demonstrates that legal transformation is closely associated with changes in social and cultural conditions (</w:t>
      </w:r>
      <w:proofErr w:type="spellStart"/>
      <w:r w:rsidRPr="007F0203">
        <w:rPr>
          <w:rFonts w:ascii="Garamond" w:hAnsi="Garamond"/>
          <w:sz w:val="22"/>
          <w:szCs w:val="22"/>
        </w:rPr>
        <w:t>Syarhan</w:t>
      </w:r>
      <w:proofErr w:type="spellEnd"/>
      <w:r w:rsidRPr="007F0203">
        <w:rPr>
          <w:rFonts w:ascii="Garamond" w:hAnsi="Garamond"/>
          <w:sz w:val="22"/>
          <w:szCs w:val="22"/>
        </w:rPr>
        <w:t>, 2021). Thus, legal sociology enables the analysis of whether legal institutions are sufficiently responsive to the needs and expectations of society.</w:t>
      </w:r>
    </w:p>
    <w:p w14:paraId="3C87ED04" w14:textId="77777777" w:rsidR="007F0203" w:rsidRPr="007F0203" w:rsidRDefault="007F0203" w:rsidP="007F0203">
      <w:pPr>
        <w:pStyle w:val="isselectedend"/>
        <w:spacing w:before="0" w:beforeAutospacing="0" w:after="0" w:afterAutospacing="0" w:line="276" w:lineRule="auto"/>
        <w:ind w:firstLine="567"/>
        <w:jc w:val="both"/>
        <w:rPr>
          <w:rFonts w:ascii="Garamond" w:hAnsi="Garamond"/>
          <w:sz w:val="22"/>
          <w:szCs w:val="22"/>
        </w:rPr>
      </w:pPr>
      <w:r w:rsidRPr="007F0203">
        <w:rPr>
          <w:rFonts w:ascii="Garamond" w:hAnsi="Garamond"/>
          <w:sz w:val="22"/>
          <w:szCs w:val="22"/>
        </w:rPr>
        <w:t xml:space="preserve">Although previous studies have examined legal enforcement, legal culture, socio-cultural transformation, and access to justice, an important gap remains in the integrated explanation of how legal sociology contributes to the realization of social justice. Existing discussions frequently focus on particular dimensions of the legal system, such as </w:t>
      </w:r>
      <w:r w:rsidRPr="007F0203">
        <w:rPr>
          <w:rFonts w:ascii="Garamond" w:hAnsi="Garamond"/>
          <w:sz w:val="22"/>
          <w:szCs w:val="22"/>
        </w:rPr>
        <w:t>institutional weaknesses, vulnerable groups, or legal reform, without sufficiently connecting these dimensions to the broader socio-legal function of law as an instrument for achieving substantive justice. The gap is particularly significant because the realization of social justice depends on the interaction between legal norms and the social, cultural, and economic conditions in which those norms operate. A more integrated socio-legal perspective is therefore necessary to explain how law can become responsive to social needs while simultaneously protecting rights and ensuring equal access to justice.</w:t>
      </w:r>
    </w:p>
    <w:p w14:paraId="459C864C" w14:textId="77777777" w:rsidR="007F0203" w:rsidRPr="007F0203" w:rsidRDefault="007F0203" w:rsidP="007F0203">
      <w:pPr>
        <w:pStyle w:val="isselectedend"/>
        <w:spacing w:before="0" w:beforeAutospacing="0" w:after="0" w:afterAutospacing="0" w:line="276" w:lineRule="auto"/>
        <w:ind w:firstLine="567"/>
        <w:jc w:val="both"/>
        <w:rPr>
          <w:rFonts w:ascii="Garamond" w:hAnsi="Garamond"/>
          <w:sz w:val="22"/>
          <w:szCs w:val="22"/>
        </w:rPr>
      </w:pPr>
      <w:r w:rsidRPr="007F0203">
        <w:rPr>
          <w:rFonts w:ascii="Garamond" w:hAnsi="Garamond"/>
          <w:sz w:val="22"/>
          <w:szCs w:val="22"/>
        </w:rPr>
        <w:t xml:space="preserve">Based on this gap, the research problem addressed in this study concerns the role of legal sociology in connecting legal norms with social realities in the pursuit of social justice. More specifically, this study addresses three questions: </w:t>
      </w:r>
      <w:r w:rsidRPr="007F0203">
        <w:rPr>
          <w:rStyle w:val="Strong"/>
          <w:rFonts w:ascii="Garamond" w:hAnsi="Garamond"/>
          <w:sz w:val="22"/>
          <w:szCs w:val="22"/>
        </w:rPr>
        <w:t>(</w:t>
      </w:r>
      <w:r w:rsidRPr="007F0203">
        <w:rPr>
          <w:rStyle w:val="Strong"/>
          <w:rFonts w:ascii="Garamond" w:hAnsi="Garamond"/>
          <w:b w:val="0"/>
          <w:bCs w:val="0"/>
          <w:sz w:val="22"/>
          <w:szCs w:val="22"/>
        </w:rPr>
        <w:t>1) What is legal sociology? (2) How is social justice conceptualized from a legal sociology perspective? and (3) What role does legal sociology play in advancing social justice in society?</w:t>
      </w:r>
      <w:r w:rsidRPr="007F0203">
        <w:rPr>
          <w:rFonts w:ascii="Garamond" w:hAnsi="Garamond"/>
          <w:sz w:val="22"/>
          <w:szCs w:val="22"/>
        </w:rPr>
        <w:t xml:space="preserve"> These questions are formulated to examine not only the conceptual meaning of legal sociology but also its relevance to the realization of substantive justice.</w:t>
      </w:r>
    </w:p>
    <w:p w14:paraId="20D8F544" w14:textId="77777777" w:rsidR="007F0203" w:rsidRPr="007F0203" w:rsidRDefault="007F0203" w:rsidP="007F0203">
      <w:pPr>
        <w:pStyle w:val="isselectedend"/>
        <w:spacing w:before="0" w:beforeAutospacing="0" w:after="0" w:afterAutospacing="0" w:line="276" w:lineRule="auto"/>
        <w:ind w:firstLine="567"/>
        <w:jc w:val="both"/>
        <w:rPr>
          <w:rFonts w:ascii="Garamond" w:hAnsi="Garamond"/>
          <w:sz w:val="22"/>
          <w:szCs w:val="22"/>
        </w:rPr>
      </w:pPr>
      <w:r w:rsidRPr="007F0203">
        <w:rPr>
          <w:rFonts w:ascii="Garamond" w:hAnsi="Garamond"/>
          <w:sz w:val="22"/>
          <w:szCs w:val="22"/>
        </w:rPr>
        <w:t xml:space="preserve">Accordingly, this study aims to explain the meaning and scope of legal sociology, examine the concept of social justice from a legal sociology perspective, and </w:t>
      </w:r>
      <w:proofErr w:type="spellStart"/>
      <w:r w:rsidRPr="007F0203">
        <w:rPr>
          <w:rFonts w:ascii="Garamond" w:hAnsi="Garamond"/>
          <w:sz w:val="22"/>
          <w:szCs w:val="22"/>
        </w:rPr>
        <w:t>analyze</w:t>
      </w:r>
      <w:proofErr w:type="spellEnd"/>
      <w:r w:rsidRPr="007F0203">
        <w:rPr>
          <w:rFonts w:ascii="Garamond" w:hAnsi="Garamond"/>
          <w:sz w:val="22"/>
          <w:szCs w:val="22"/>
        </w:rPr>
        <w:t xml:space="preserve"> the role of legal sociology in advancing social justice in society. The study employs a normative legal research approach combined with a socio-legal perspective, allowing legal norms to be examined in relation to the social conditions and realities within which they operate.</w:t>
      </w:r>
    </w:p>
    <w:p w14:paraId="3E45FB82" w14:textId="77777777" w:rsidR="007F0203" w:rsidRDefault="007F0203" w:rsidP="007F0203">
      <w:pPr>
        <w:pStyle w:val="NormalWeb"/>
        <w:spacing w:before="0" w:beforeAutospacing="0" w:after="0" w:afterAutospacing="0" w:line="276" w:lineRule="auto"/>
        <w:ind w:firstLine="567"/>
        <w:jc w:val="both"/>
      </w:pPr>
      <w:r w:rsidRPr="007F0203">
        <w:rPr>
          <w:rFonts w:ascii="Garamond" w:hAnsi="Garamond"/>
          <w:sz w:val="22"/>
          <w:szCs w:val="22"/>
        </w:rPr>
        <w:t xml:space="preserve">Theoretically, this study contributes to the development of legal sociology by strengthening the understanding of law as both a normative system and a social institution. It emphasizes that the achievement of justice cannot be assessed solely through the existence of legal rules but must also consider their implementation, social acceptance, and consequences for different groups within society. Practically, the study provides implications for legislators, law enforcement institutions, legal practitioners, and policymakers by emphasizing the importance of responsive, inclusive, and socially contextualized legal policies. The novelty of this study lies in integrating the normative function of law with its social function through a legal sociology perspective, thereby positioning legal sociology not </w:t>
      </w:r>
      <w:r w:rsidRPr="007F0203">
        <w:rPr>
          <w:rFonts w:ascii="Garamond" w:hAnsi="Garamond"/>
          <w:sz w:val="22"/>
          <w:szCs w:val="22"/>
        </w:rPr>
        <w:lastRenderedPageBreak/>
        <w:t>merely as an analytical discipline but also as a strategic framework for advancing substantive social justice, protecting vulnerable groups, and strengthening equal access to justice.</w:t>
      </w:r>
    </w:p>
    <w:p w14:paraId="6432E33F" w14:textId="77777777" w:rsidR="00F8470F" w:rsidRPr="00824144" w:rsidRDefault="00F8470F" w:rsidP="00F8470F">
      <w:pPr>
        <w:spacing w:line="276" w:lineRule="auto"/>
        <w:ind w:firstLine="567"/>
        <w:jc w:val="both"/>
        <w:rPr>
          <w:rFonts w:ascii="Garamond" w:hAnsi="Garamond"/>
          <w:sz w:val="22"/>
          <w:szCs w:val="22"/>
          <w:lang w:val="id-ID"/>
        </w:rPr>
      </w:pPr>
    </w:p>
    <w:p w14:paraId="0F44CC12" w14:textId="2F3F383D" w:rsidR="00F8470F" w:rsidRPr="00824144" w:rsidRDefault="00F8470F" w:rsidP="00F8470F">
      <w:pPr>
        <w:pStyle w:val="Heading1"/>
        <w:numPr>
          <w:ilvl w:val="0"/>
          <w:numId w:val="2"/>
        </w:numPr>
        <w:suppressAutoHyphens/>
        <w:spacing w:line="276" w:lineRule="auto"/>
        <w:ind w:left="274" w:hanging="274"/>
        <w:rPr>
          <w:rFonts w:ascii="Garamond" w:hAnsi="Garamond"/>
          <w:i w:val="0"/>
          <w:color w:val="0070C0"/>
          <w:sz w:val="22"/>
          <w:szCs w:val="22"/>
        </w:rPr>
      </w:pPr>
      <w:proofErr w:type="spellStart"/>
      <w:r w:rsidRPr="00824144">
        <w:rPr>
          <w:rFonts w:ascii="Garamond" w:hAnsi="Garamond"/>
          <w:i w:val="0"/>
          <w:color w:val="002060"/>
          <w:sz w:val="22"/>
          <w:szCs w:val="22"/>
          <w:lang w:val="id-ID"/>
        </w:rPr>
        <w:t>Literature</w:t>
      </w:r>
      <w:proofErr w:type="spellEnd"/>
      <w:r w:rsidRPr="00824144">
        <w:rPr>
          <w:rFonts w:ascii="Garamond" w:hAnsi="Garamond"/>
          <w:i w:val="0"/>
          <w:color w:val="002060"/>
          <w:sz w:val="22"/>
          <w:szCs w:val="22"/>
          <w:lang w:val="id-ID"/>
        </w:rPr>
        <w:t xml:space="preserve"> </w:t>
      </w:r>
      <w:proofErr w:type="spellStart"/>
      <w:r w:rsidRPr="00824144">
        <w:rPr>
          <w:rFonts w:ascii="Garamond" w:hAnsi="Garamond"/>
          <w:i w:val="0"/>
          <w:color w:val="002060"/>
          <w:sz w:val="22"/>
          <w:szCs w:val="22"/>
          <w:lang w:val="id-ID"/>
        </w:rPr>
        <w:t>Review</w:t>
      </w:r>
      <w:proofErr w:type="spellEnd"/>
      <w:r w:rsidRPr="00824144">
        <w:rPr>
          <w:rFonts w:ascii="Garamond" w:hAnsi="Garamond"/>
          <w:i w:val="0"/>
          <w:color w:val="002060"/>
          <w:sz w:val="22"/>
          <w:szCs w:val="22"/>
          <w:lang w:val="id-ID"/>
        </w:rPr>
        <w:t xml:space="preserve"> </w:t>
      </w:r>
    </w:p>
    <w:p w14:paraId="3619F10C" w14:textId="77777777" w:rsidR="006334B2" w:rsidRPr="006334B2" w:rsidRDefault="006334B2" w:rsidP="006334B2">
      <w:pPr>
        <w:pStyle w:val="Heading3"/>
        <w:spacing w:before="0" w:line="276" w:lineRule="auto"/>
        <w:jc w:val="both"/>
        <w:rPr>
          <w:rFonts w:ascii="Garamond" w:hAnsi="Garamond"/>
          <w:color w:val="000000" w:themeColor="text1"/>
          <w:sz w:val="22"/>
          <w:szCs w:val="22"/>
        </w:rPr>
      </w:pPr>
      <w:r w:rsidRPr="006334B2">
        <w:rPr>
          <w:rFonts w:ascii="Garamond" w:hAnsi="Garamond"/>
          <w:color w:val="000000" w:themeColor="text1"/>
          <w:sz w:val="22"/>
          <w:szCs w:val="22"/>
        </w:rPr>
        <w:t>2.1 Conceptual and Theoretical Foundations</w:t>
      </w:r>
    </w:p>
    <w:p w14:paraId="1C41251D"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Legal sociology provides an interdisciplinary foundation for understanding law as a social phenomenon rather than merely as a formal system of written rules. Its central concern is the reciprocal relationship between legal institutions, legal norms, and social life. From this perspective, the effectiveness and legitimacy of law cannot be assessed solely by examining the existence or quality of legal provisions; attention must also be given to how people understand, experience, comply with, challenge, and use the law. This perspective is particularly relevant to social justice because formally equal legal rules may produce unequal outcomes when they operate within socially and economically unequal environments.</w:t>
      </w:r>
    </w:p>
    <w:p w14:paraId="0A399584"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One important concept within the socio-legal tradition is </w:t>
      </w:r>
      <w:r w:rsidRPr="006334B2">
        <w:rPr>
          <w:rStyle w:val="Strong"/>
          <w:rFonts w:ascii="Garamond" w:hAnsi="Garamond"/>
          <w:b w:val="0"/>
          <w:bCs w:val="0"/>
          <w:sz w:val="22"/>
          <w:szCs w:val="22"/>
        </w:rPr>
        <w:t>legal consciousness</w:t>
      </w:r>
      <w:r w:rsidRPr="006334B2">
        <w:rPr>
          <w:rFonts w:ascii="Garamond" w:hAnsi="Garamond"/>
          <w:sz w:val="22"/>
          <w:szCs w:val="22"/>
        </w:rPr>
        <w:t>, which refers broadly to the ways individuals and groups understand, interpret, experience, and engage with law. A systematic review by Horák et al. (2021) demonstrates that legal consciousness encompasses multiple dimensions, including legal knowledge, skills, attitudes, trust, and identity. Their findings are important for the present study because they demonstrate that the relationship between society and law cannot be reduced to simple compliance with legal rules. Instead, people's perceptions and experiences of law constitute an important dimension of how legal systems function in practice.</w:t>
      </w:r>
    </w:p>
    <w:p w14:paraId="5E29A378"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The concept of </w:t>
      </w:r>
      <w:r w:rsidRPr="006334B2">
        <w:rPr>
          <w:rStyle w:val="Strong"/>
          <w:rFonts w:ascii="Garamond" w:hAnsi="Garamond"/>
          <w:b w:val="0"/>
          <w:bCs w:val="0"/>
          <w:sz w:val="22"/>
          <w:szCs w:val="22"/>
        </w:rPr>
        <w:t>law in action</w:t>
      </w:r>
      <w:r w:rsidRPr="006334B2">
        <w:rPr>
          <w:rFonts w:ascii="Garamond" w:hAnsi="Garamond"/>
          <w:sz w:val="22"/>
          <w:szCs w:val="22"/>
        </w:rPr>
        <w:t xml:space="preserve"> further strengthens this perspective. The distinction between formal legal norms and their implementation highlights that legal rules may operate differently from their intended normative design. In socio-legal analysis, law is therefore understood through its interaction with institutions, social structures, cultural practices, and power relations. Recent scholarship on legal consciousness illustrates that legal actors and institutions can actively shape people's perceptions of law and, consequently, reproduce or challenge existing relations of power. Young and </w:t>
      </w:r>
      <w:proofErr w:type="spellStart"/>
      <w:r w:rsidRPr="006334B2">
        <w:rPr>
          <w:rFonts w:ascii="Garamond" w:hAnsi="Garamond"/>
          <w:sz w:val="22"/>
          <w:szCs w:val="22"/>
        </w:rPr>
        <w:t>Chimowitz</w:t>
      </w:r>
      <w:proofErr w:type="spellEnd"/>
      <w:r w:rsidRPr="006334B2">
        <w:rPr>
          <w:rFonts w:ascii="Garamond" w:hAnsi="Garamond"/>
          <w:sz w:val="22"/>
          <w:szCs w:val="22"/>
        </w:rPr>
        <w:t xml:space="preserve"> (2022), </w:t>
      </w:r>
      <w:r w:rsidRPr="006334B2">
        <w:rPr>
          <w:rFonts w:ascii="Garamond" w:hAnsi="Garamond"/>
          <w:sz w:val="22"/>
          <w:szCs w:val="22"/>
        </w:rPr>
        <w:t>for example, show that legal consciousness may operate relationally within institutional decision-making and can contribute to the reproduction of existing legal and social structures.</w:t>
      </w:r>
    </w:p>
    <w:p w14:paraId="7E712D79"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Another relevant theoretical concept is </w:t>
      </w:r>
      <w:r w:rsidRPr="006334B2">
        <w:rPr>
          <w:rStyle w:val="Strong"/>
          <w:rFonts w:ascii="Garamond" w:hAnsi="Garamond"/>
          <w:b w:val="0"/>
          <w:bCs w:val="0"/>
          <w:sz w:val="22"/>
          <w:szCs w:val="22"/>
        </w:rPr>
        <w:t>legal pluralism</w:t>
      </w:r>
      <w:r w:rsidRPr="006334B2">
        <w:rPr>
          <w:rFonts w:ascii="Garamond" w:hAnsi="Garamond"/>
          <w:b/>
          <w:bCs/>
          <w:sz w:val="22"/>
          <w:szCs w:val="22"/>
        </w:rPr>
        <w:t>,</w:t>
      </w:r>
      <w:r w:rsidRPr="006334B2">
        <w:rPr>
          <w:rFonts w:ascii="Garamond" w:hAnsi="Garamond"/>
          <w:sz w:val="22"/>
          <w:szCs w:val="22"/>
        </w:rPr>
        <w:t xml:space="preserve"> which recognizes that state law operates alongside other normative orders, including customary, religious, community-based, and informal norms. This perspective is particularly relevant to societies characterized by social and cultural diversity. Contemporary scholarship emphasizes that the law–society relationship should not be understood as a simple relationship between a single state legal system and society, because multiple forms of normative ordering may coexist and interact. Legal pluralism therefore provides an additional analytical lens for understanding how social values and community practices influence the operation of law (Shahar &amp; Yefet, 2023).</w:t>
      </w:r>
    </w:p>
    <w:p w14:paraId="56EA76F6"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Within this theoretical foundation, </w:t>
      </w:r>
      <w:r w:rsidRPr="006334B2">
        <w:rPr>
          <w:rStyle w:val="Strong"/>
          <w:rFonts w:ascii="Garamond" w:hAnsi="Garamond"/>
          <w:b w:val="0"/>
          <w:bCs w:val="0"/>
          <w:sz w:val="22"/>
          <w:szCs w:val="22"/>
        </w:rPr>
        <w:t>social justice</w:t>
      </w:r>
      <w:r w:rsidRPr="006334B2">
        <w:rPr>
          <w:rFonts w:ascii="Garamond" w:hAnsi="Garamond"/>
          <w:b/>
          <w:bCs/>
          <w:sz w:val="22"/>
          <w:szCs w:val="22"/>
        </w:rPr>
        <w:t xml:space="preserve"> </w:t>
      </w:r>
      <w:r w:rsidRPr="006334B2">
        <w:rPr>
          <w:rFonts w:ascii="Garamond" w:hAnsi="Garamond"/>
          <w:sz w:val="22"/>
          <w:szCs w:val="22"/>
        </w:rPr>
        <w:t>is understood not merely as formal equality before the law but also as the substantive ability of individuals and groups to obtain legal protection, participate in legal processes, and access remedies without discrimination. Access to justice is therefore an important practical dimension of social justice. In Indonesia, research has shown that vulnerable groups continue to face barriers to effective legal protection and access to justice, demonstrating the importance of examining the social conditions surrounding the implementation of law (</w:t>
      </w:r>
      <w:proofErr w:type="spellStart"/>
      <w:r w:rsidRPr="006334B2">
        <w:rPr>
          <w:rFonts w:ascii="Garamond" w:hAnsi="Garamond"/>
          <w:sz w:val="22"/>
          <w:szCs w:val="22"/>
        </w:rPr>
        <w:t>Hijriani</w:t>
      </w:r>
      <w:proofErr w:type="spellEnd"/>
      <w:r w:rsidRPr="006334B2">
        <w:rPr>
          <w:rFonts w:ascii="Garamond" w:hAnsi="Garamond"/>
          <w:sz w:val="22"/>
          <w:szCs w:val="22"/>
        </w:rPr>
        <w:t xml:space="preserve"> &amp; Hasima, 2022).</w:t>
      </w:r>
    </w:p>
    <w:p w14:paraId="187CA9A7" w14:textId="77777777" w:rsidR="006334B2" w:rsidRDefault="006334B2" w:rsidP="006334B2">
      <w:pPr>
        <w:pStyle w:val="Heading3"/>
        <w:spacing w:before="0" w:line="276" w:lineRule="auto"/>
        <w:jc w:val="both"/>
        <w:rPr>
          <w:rFonts w:ascii="Garamond" w:hAnsi="Garamond"/>
          <w:sz w:val="22"/>
          <w:szCs w:val="18"/>
        </w:rPr>
      </w:pPr>
    </w:p>
    <w:p w14:paraId="7BE2ACE1" w14:textId="28AD3951" w:rsidR="006334B2" w:rsidRPr="006334B2" w:rsidRDefault="006334B2" w:rsidP="006334B2">
      <w:pPr>
        <w:pStyle w:val="Heading3"/>
        <w:spacing w:before="0" w:line="276" w:lineRule="auto"/>
        <w:jc w:val="both"/>
        <w:rPr>
          <w:rFonts w:ascii="Garamond" w:hAnsi="Garamond"/>
          <w:color w:val="000000" w:themeColor="text1"/>
          <w:sz w:val="22"/>
          <w:szCs w:val="18"/>
        </w:rPr>
      </w:pPr>
      <w:r w:rsidRPr="006334B2">
        <w:rPr>
          <w:rFonts w:ascii="Garamond" w:hAnsi="Garamond"/>
          <w:color w:val="000000" w:themeColor="text1"/>
          <w:sz w:val="22"/>
          <w:szCs w:val="18"/>
        </w:rPr>
        <w:t>2.2 Review of Empirical Studies</w:t>
      </w:r>
    </w:p>
    <w:p w14:paraId="420F3B0F"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Recent studies provide evidence that the relationship between law and society has significant implications for justice. Horák et al. (2021), through a systematic review of legal-consciousness research, identified substantial conceptual and methodological diversity in how legal consciousness has been defined and measured. Their findings indicate that people's relationships with law involve cognitive, attitudinal, </w:t>
      </w:r>
      <w:proofErr w:type="spellStart"/>
      <w:r w:rsidRPr="006334B2">
        <w:rPr>
          <w:rFonts w:ascii="Garamond" w:hAnsi="Garamond"/>
          <w:sz w:val="22"/>
          <w:szCs w:val="22"/>
        </w:rPr>
        <w:t>behavioral</w:t>
      </w:r>
      <w:proofErr w:type="spellEnd"/>
      <w:r w:rsidRPr="006334B2">
        <w:rPr>
          <w:rFonts w:ascii="Garamond" w:hAnsi="Garamond"/>
          <w:sz w:val="22"/>
          <w:szCs w:val="22"/>
        </w:rPr>
        <w:t>, and identity-related dimensions. This finding supports a socio-legal understanding in which the effectiveness of law depends partly on how law is understood and experienced by members of society.</w:t>
      </w:r>
    </w:p>
    <w:p w14:paraId="5D598A16"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Research by Young and </w:t>
      </w:r>
      <w:proofErr w:type="spellStart"/>
      <w:r w:rsidRPr="006334B2">
        <w:rPr>
          <w:rFonts w:ascii="Garamond" w:hAnsi="Garamond"/>
          <w:sz w:val="22"/>
          <w:szCs w:val="22"/>
        </w:rPr>
        <w:t>Chimowitz</w:t>
      </w:r>
      <w:proofErr w:type="spellEnd"/>
      <w:r w:rsidRPr="006334B2">
        <w:rPr>
          <w:rFonts w:ascii="Garamond" w:hAnsi="Garamond"/>
          <w:sz w:val="22"/>
          <w:szCs w:val="22"/>
        </w:rPr>
        <w:t xml:space="preserve"> (2022) further demonstrates the importance of institutional and relational dimensions of legal consciousness. </w:t>
      </w:r>
      <w:r w:rsidRPr="006334B2">
        <w:rPr>
          <w:rFonts w:ascii="Garamond" w:hAnsi="Garamond"/>
          <w:sz w:val="22"/>
          <w:szCs w:val="22"/>
        </w:rPr>
        <w:lastRenderedPageBreak/>
        <w:t>Based on interviews with parole commissioners in California, their study found that perceptions of individuals' relationships with law influenced institutional assessments and contributed to the reproduction of existing carceral logic. Although conducted in a criminal justice context, the study is relevant to the present research because it demonstrates that legal outcomes are shaped by social interpretations and institutional practices rather than by legal rules alone.</w:t>
      </w:r>
    </w:p>
    <w:p w14:paraId="4F134D73"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proofErr w:type="spellStart"/>
      <w:r w:rsidRPr="006334B2">
        <w:rPr>
          <w:rFonts w:ascii="Garamond" w:hAnsi="Garamond"/>
          <w:sz w:val="22"/>
          <w:szCs w:val="22"/>
        </w:rPr>
        <w:t>Hilbink</w:t>
      </w:r>
      <w:proofErr w:type="spellEnd"/>
      <w:r w:rsidRPr="006334B2">
        <w:rPr>
          <w:rFonts w:ascii="Garamond" w:hAnsi="Garamond"/>
          <w:sz w:val="22"/>
          <w:szCs w:val="22"/>
        </w:rPr>
        <w:t xml:space="preserve"> and Salas Ramos (2024) provide another important empirical contribution by examining legal consciousness and willingness to pursue remedies in the context of mass political mobilization in Chile. Their findings indicate that participation in collective action and perceived knowledge of where to seek remedies were associated with individuals' willingness to pursue formal responses to rights violations. This evidence demonstrates that legal consciousness is influenced by broader social and political experiences and that social participation may strengthen individuals' capacity to claim rights.</w:t>
      </w:r>
    </w:p>
    <w:p w14:paraId="328F1E5A"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In the Indonesian context, studies have identified continuing barriers to access to justice among vulnerable populations. </w:t>
      </w:r>
      <w:proofErr w:type="spellStart"/>
      <w:r w:rsidRPr="006334B2">
        <w:rPr>
          <w:rFonts w:ascii="Garamond" w:hAnsi="Garamond"/>
          <w:sz w:val="22"/>
          <w:szCs w:val="22"/>
        </w:rPr>
        <w:t>Hijriani</w:t>
      </w:r>
      <w:proofErr w:type="spellEnd"/>
      <w:r w:rsidRPr="006334B2">
        <w:rPr>
          <w:rFonts w:ascii="Garamond" w:hAnsi="Garamond"/>
          <w:sz w:val="22"/>
          <w:szCs w:val="22"/>
        </w:rPr>
        <w:t xml:space="preserve"> and Hasima (2022) found that Indonesia has established various legal and institutional mechanisms to support vulnerable groups, but challenges remain in ensuring equal protection and effective access to justice. Similarly, </w:t>
      </w:r>
      <w:proofErr w:type="spellStart"/>
      <w:r w:rsidRPr="006334B2">
        <w:rPr>
          <w:rFonts w:ascii="Garamond" w:hAnsi="Garamond"/>
          <w:sz w:val="22"/>
          <w:szCs w:val="22"/>
        </w:rPr>
        <w:t>Suhariyanto</w:t>
      </w:r>
      <w:proofErr w:type="spellEnd"/>
      <w:r w:rsidRPr="006334B2">
        <w:rPr>
          <w:rFonts w:ascii="Garamond" w:hAnsi="Garamond"/>
          <w:sz w:val="22"/>
          <w:szCs w:val="22"/>
        </w:rPr>
        <w:t xml:space="preserve"> and Mustafa (2022) examined the regulation and implementation of legal aid services in Indonesian courts and highlighted the importance of institutional mechanisms in ensuring that legal aid can function as an instrument for improving access to justice.</w:t>
      </w:r>
    </w:p>
    <w:p w14:paraId="378C39EA"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Other Indonesian research has emphasized the role of legal sociology in moving law enforcement beyond formal legal certainty toward substantive justice. Umairy (2024) argues that legal sociology enables legal analysis to incorporate social facts, community </w:t>
      </w:r>
      <w:proofErr w:type="spellStart"/>
      <w:r w:rsidRPr="006334B2">
        <w:rPr>
          <w:rFonts w:ascii="Garamond" w:hAnsi="Garamond"/>
          <w:sz w:val="22"/>
          <w:szCs w:val="22"/>
        </w:rPr>
        <w:t>behavior</w:t>
      </w:r>
      <w:proofErr w:type="spellEnd"/>
      <w:r w:rsidRPr="006334B2">
        <w:rPr>
          <w:rFonts w:ascii="Garamond" w:hAnsi="Garamond"/>
          <w:sz w:val="22"/>
          <w:szCs w:val="22"/>
        </w:rPr>
        <w:t>, living norms, and the circumstances of vulnerable groups into the law-enforcement process. Research concerning legal services for persons with disabilities similarly demonstrates that formal guarantees of equality do not automatically eliminate practical barriers to accessing justice, indicating the importance of considering social and institutional conditions in the implementation of legal rights (</w:t>
      </w:r>
      <w:proofErr w:type="spellStart"/>
      <w:r w:rsidRPr="006334B2">
        <w:rPr>
          <w:rFonts w:ascii="Garamond" w:hAnsi="Garamond"/>
          <w:sz w:val="22"/>
          <w:szCs w:val="22"/>
        </w:rPr>
        <w:t>Paikah</w:t>
      </w:r>
      <w:proofErr w:type="spellEnd"/>
      <w:r w:rsidRPr="006334B2">
        <w:rPr>
          <w:rFonts w:ascii="Garamond" w:hAnsi="Garamond"/>
          <w:sz w:val="22"/>
          <w:szCs w:val="22"/>
        </w:rPr>
        <w:t>, 2023).</w:t>
      </w:r>
    </w:p>
    <w:p w14:paraId="199689F8"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Taken together, these studies reveal a consistent pattern: law becomes more meaningful when its implementation is examined in relation to social experience, institutional practices, legal consciousness, and the conditions of vulnerable groups. Nevertheless, the existing literature also remains fragmented. Some studies concentrate on legal consciousness, others on legal aid and access to justice, while others focus on institutional enforcement or particular vulnerable populations. The broader relationship between legal sociology and the realization of social justice therefore requires further conceptual integration.</w:t>
      </w:r>
    </w:p>
    <w:p w14:paraId="577151DF" w14:textId="77777777" w:rsidR="006334B2" w:rsidRDefault="006334B2" w:rsidP="006334B2">
      <w:pPr>
        <w:pStyle w:val="Heading3"/>
        <w:spacing w:before="0" w:line="276" w:lineRule="auto"/>
        <w:jc w:val="both"/>
        <w:rPr>
          <w:rFonts w:ascii="Garamond" w:hAnsi="Garamond"/>
          <w:sz w:val="22"/>
          <w:szCs w:val="18"/>
        </w:rPr>
      </w:pPr>
    </w:p>
    <w:p w14:paraId="3F37BF44" w14:textId="44ADB7CF" w:rsidR="006334B2" w:rsidRPr="006334B2" w:rsidRDefault="006334B2" w:rsidP="006334B2">
      <w:pPr>
        <w:pStyle w:val="Heading3"/>
        <w:spacing w:before="0" w:line="276" w:lineRule="auto"/>
        <w:jc w:val="both"/>
        <w:rPr>
          <w:rFonts w:ascii="Garamond" w:hAnsi="Garamond"/>
          <w:color w:val="000000" w:themeColor="text1"/>
          <w:sz w:val="22"/>
          <w:szCs w:val="18"/>
        </w:rPr>
      </w:pPr>
      <w:r w:rsidRPr="006334B2">
        <w:rPr>
          <w:rFonts w:ascii="Garamond" w:hAnsi="Garamond"/>
          <w:color w:val="000000" w:themeColor="text1"/>
          <w:sz w:val="22"/>
          <w:szCs w:val="18"/>
        </w:rPr>
        <w:t>2.3 Identification of the Research Gap</w:t>
      </w:r>
    </w:p>
    <w:p w14:paraId="58B17B2E"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The literature indicates three principal gaps. First, existing studies frequently examine particular components of the law–society relationship separately. Legal consciousness research emphasizes how individuals understand and experience law, whereas access-to-justice studies tend to focus on institutional barriers and legal aid. These approaches are valuable but do not always integrate legal norms, social structures, institutional practices, and justice outcomes within a single socio-legal perspective.</w:t>
      </w:r>
    </w:p>
    <w:p w14:paraId="2BCF67A2"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Second, much of the recent empirical literature is context-specific. Studies have examined parole decision-making, political mobilization, legal aid, vulnerable groups, or particular institutional settings. Although these studies provide important empirical evidence, their findings do not fully explain the broader role of legal sociology as an analytical framework for understanding the realization of social justice across different social conditions.</w:t>
      </w:r>
    </w:p>
    <w:p w14:paraId="4EC7761C"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Third, there remains a conceptual gap between </w:t>
      </w:r>
      <w:r w:rsidRPr="006334B2">
        <w:rPr>
          <w:rStyle w:val="Strong"/>
          <w:rFonts w:ascii="Garamond" w:hAnsi="Garamond"/>
          <w:b w:val="0"/>
          <w:bCs w:val="0"/>
          <w:sz w:val="22"/>
          <w:szCs w:val="22"/>
        </w:rPr>
        <w:t>formal legal equality</w:t>
      </w:r>
      <w:r w:rsidRPr="006334B2">
        <w:rPr>
          <w:rFonts w:ascii="Garamond" w:hAnsi="Garamond"/>
          <w:sz w:val="22"/>
          <w:szCs w:val="22"/>
        </w:rPr>
        <w:t xml:space="preserve"> and </w:t>
      </w:r>
      <w:r w:rsidRPr="006334B2">
        <w:rPr>
          <w:rStyle w:val="Strong"/>
          <w:rFonts w:ascii="Garamond" w:hAnsi="Garamond"/>
          <w:b w:val="0"/>
          <w:bCs w:val="0"/>
          <w:sz w:val="22"/>
          <w:szCs w:val="22"/>
        </w:rPr>
        <w:t>substantive social justice</w:t>
      </w:r>
      <w:r w:rsidRPr="006334B2">
        <w:rPr>
          <w:rFonts w:ascii="Garamond" w:hAnsi="Garamond"/>
          <w:sz w:val="22"/>
          <w:szCs w:val="22"/>
        </w:rPr>
        <w:t>. The existence of legal guarantees does not necessarily ensure that all members of society can exercise their rights equally. Structural inequality, limited legal awareness, institutional practices, cultural norms, and unequal access to legal resources can affect how legal rules operate in practice. The present study addresses this gap by integrating these dimensions through a legal sociology perspective.</w:t>
      </w:r>
    </w:p>
    <w:p w14:paraId="550AFC38"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Accordingly, the originality of this study does not lie in proposing a new statistical relationship between variables but in developing an integrated socio-legal explanation of how law can function as </w:t>
      </w:r>
      <w:r w:rsidRPr="006334B2">
        <w:rPr>
          <w:rFonts w:ascii="Garamond" w:hAnsi="Garamond"/>
          <w:sz w:val="22"/>
          <w:szCs w:val="22"/>
        </w:rPr>
        <w:lastRenderedPageBreak/>
        <w:t>an instrument of social justice. The study positions legal sociology as a bridge between normative legal provisions and the social realities that determine whether those provisions produce meaningful protection and equal access to justice.</w:t>
      </w:r>
    </w:p>
    <w:p w14:paraId="18C88AA5" w14:textId="77777777" w:rsidR="006334B2" w:rsidRDefault="006334B2" w:rsidP="006334B2">
      <w:pPr>
        <w:pStyle w:val="Heading3"/>
        <w:spacing w:before="0" w:line="276" w:lineRule="auto"/>
        <w:jc w:val="both"/>
        <w:rPr>
          <w:rFonts w:ascii="Garamond" w:hAnsi="Garamond"/>
          <w:sz w:val="22"/>
          <w:szCs w:val="18"/>
        </w:rPr>
      </w:pPr>
    </w:p>
    <w:p w14:paraId="217AC756" w14:textId="315EB167" w:rsidR="006334B2" w:rsidRPr="006334B2" w:rsidRDefault="006334B2" w:rsidP="006334B2">
      <w:pPr>
        <w:pStyle w:val="Heading3"/>
        <w:spacing w:before="0" w:line="276" w:lineRule="auto"/>
        <w:jc w:val="both"/>
        <w:rPr>
          <w:rFonts w:ascii="Garamond" w:hAnsi="Garamond"/>
          <w:color w:val="000000" w:themeColor="text1"/>
          <w:sz w:val="22"/>
          <w:szCs w:val="18"/>
        </w:rPr>
      </w:pPr>
      <w:r w:rsidRPr="006334B2">
        <w:rPr>
          <w:rFonts w:ascii="Garamond" w:hAnsi="Garamond"/>
          <w:color w:val="000000" w:themeColor="text1"/>
          <w:sz w:val="22"/>
          <w:szCs w:val="18"/>
        </w:rPr>
        <w:t>2.4 Development of the Conceptual Framework</w:t>
      </w:r>
    </w:p>
    <w:p w14:paraId="7E3E03A8"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Because this study is based on normative legal research with a socio-legal approach, the conceptual framework is not constructed as a quantitative model involving independent, mediating, or dependent variables. Instead, it functions as an </w:t>
      </w:r>
      <w:r w:rsidRPr="006334B2">
        <w:rPr>
          <w:rStyle w:val="Strong"/>
          <w:rFonts w:ascii="Garamond" w:hAnsi="Garamond"/>
          <w:b w:val="0"/>
          <w:bCs w:val="0"/>
          <w:sz w:val="22"/>
          <w:szCs w:val="22"/>
        </w:rPr>
        <w:t>analytical framework</w:t>
      </w:r>
      <w:r w:rsidRPr="006334B2">
        <w:rPr>
          <w:rFonts w:ascii="Garamond" w:hAnsi="Garamond"/>
          <w:sz w:val="22"/>
          <w:szCs w:val="22"/>
        </w:rPr>
        <w:t xml:space="preserve"> for organizing the relationship among the principal concepts examined in the study.</w:t>
      </w:r>
    </w:p>
    <w:p w14:paraId="2C1F46EF"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The analytical framework begins with </w:t>
      </w:r>
      <w:r w:rsidRPr="006334B2">
        <w:rPr>
          <w:rStyle w:val="Strong"/>
          <w:rFonts w:ascii="Garamond" w:hAnsi="Garamond"/>
          <w:b w:val="0"/>
          <w:bCs w:val="0"/>
          <w:sz w:val="22"/>
          <w:szCs w:val="22"/>
        </w:rPr>
        <w:t>legal norms</w:t>
      </w:r>
      <w:r w:rsidRPr="006334B2">
        <w:rPr>
          <w:rFonts w:ascii="Garamond" w:hAnsi="Garamond"/>
          <w:sz w:val="22"/>
          <w:szCs w:val="22"/>
        </w:rPr>
        <w:t xml:space="preserve">, which establish rights, obligations, institutional responsibilities, and mechanisms for legal protection. These norms operate within particular </w:t>
      </w:r>
      <w:r w:rsidRPr="006334B2">
        <w:rPr>
          <w:rStyle w:val="Strong"/>
          <w:rFonts w:ascii="Garamond" w:hAnsi="Garamond"/>
          <w:b w:val="0"/>
          <w:bCs w:val="0"/>
          <w:sz w:val="22"/>
          <w:szCs w:val="22"/>
        </w:rPr>
        <w:t>social conditions</w:t>
      </w:r>
      <w:r w:rsidRPr="006334B2">
        <w:rPr>
          <w:rFonts w:ascii="Garamond" w:hAnsi="Garamond"/>
          <w:sz w:val="22"/>
          <w:szCs w:val="22"/>
        </w:rPr>
        <w:t xml:space="preserve">, including cultural values, economic circumstances, social structures, legal awareness, and relations of power. The interaction between legal norms and social conditions influences </w:t>
      </w:r>
      <w:r w:rsidRPr="006334B2">
        <w:rPr>
          <w:rStyle w:val="Strong"/>
          <w:rFonts w:ascii="Garamond" w:hAnsi="Garamond"/>
          <w:b w:val="0"/>
          <w:bCs w:val="0"/>
          <w:sz w:val="22"/>
          <w:szCs w:val="22"/>
        </w:rPr>
        <w:t>law in action</w:t>
      </w:r>
      <w:r w:rsidRPr="006334B2">
        <w:rPr>
          <w:rFonts w:ascii="Garamond" w:hAnsi="Garamond"/>
          <w:sz w:val="22"/>
          <w:szCs w:val="22"/>
        </w:rPr>
        <w:t>, referring to how law is interpreted, implemented, accepted, challenged, or accessed in everyday social life.</w:t>
      </w:r>
    </w:p>
    <w:p w14:paraId="128E21F7" w14:textId="607BA7B1"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 xml:space="preserve">The operation of law in society subsequently affects </w:t>
      </w:r>
      <w:r w:rsidRPr="006334B2">
        <w:rPr>
          <w:rStyle w:val="Strong"/>
          <w:rFonts w:ascii="Garamond" w:hAnsi="Garamond"/>
          <w:b w:val="0"/>
          <w:bCs w:val="0"/>
          <w:sz w:val="22"/>
          <w:szCs w:val="22"/>
        </w:rPr>
        <w:t>access to justice</w:t>
      </w:r>
      <w:r w:rsidRPr="006334B2">
        <w:rPr>
          <w:rFonts w:ascii="Garamond" w:hAnsi="Garamond"/>
          <w:sz w:val="22"/>
          <w:szCs w:val="22"/>
        </w:rPr>
        <w:t xml:space="preserve">, particularly for vulnerable and marginalized groups. Equal access to legal protection and remedies constitutes an important pathway toward </w:t>
      </w:r>
      <w:r w:rsidRPr="006334B2">
        <w:rPr>
          <w:rStyle w:val="Strong"/>
          <w:rFonts w:ascii="Garamond" w:hAnsi="Garamond"/>
          <w:b w:val="0"/>
          <w:bCs w:val="0"/>
          <w:sz w:val="22"/>
          <w:szCs w:val="22"/>
        </w:rPr>
        <w:t>substantive social justice</w:t>
      </w:r>
      <w:r w:rsidRPr="006334B2">
        <w:rPr>
          <w:rFonts w:ascii="Garamond" w:hAnsi="Garamond"/>
          <w:b/>
          <w:bCs/>
          <w:sz w:val="22"/>
          <w:szCs w:val="22"/>
        </w:rPr>
        <w:t>.</w:t>
      </w:r>
      <w:r w:rsidRPr="006334B2">
        <w:rPr>
          <w:rFonts w:ascii="Garamond" w:hAnsi="Garamond"/>
          <w:sz w:val="22"/>
          <w:szCs w:val="22"/>
        </w:rPr>
        <w:t xml:space="preserve"> </w:t>
      </w:r>
    </w:p>
    <w:p w14:paraId="78AD2B75" w14:textId="77777777" w:rsidR="006334B2" w:rsidRPr="006334B2" w:rsidRDefault="006334B2" w:rsidP="006334B2">
      <w:pPr>
        <w:pStyle w:val="Heading3"/>
        <w:spacing w:before="0" w:line="276" w:lineRule="auto"/>
        <w:jc w:val="both"/>
        <w:rPr>
          <w:rFonts w:ascii="Garamond" w:hAnsi="Garamond"/>
          <w:color w:val="000000" w:themeColor="text1"/>
          <w:sz w:val="22"/>
          <w:szCs w:val="18"/>
        </w:rPr>
      </w:pPr>
    </w:p>
    <w:p w14:paraId="71B9C12B" w14:textId="02DD23A5" w:rsidR="006334B2" w:rsidRPr="006334B2" w:rsidRDefault="006334B2" w:rsidP="006334B2">
      <w:pPr>
        <w:pStyle w:val="Heading3"/>
        <w:spacing w:before="0" w:line="276" w:lineRule="auto"/>
        <w:jc w:val="both"/>
        <w:rPr>
          <w:rFonts w:ascii="Garamond" w:hAnsi="Garamond"/>
          <w:color w:val="000000" w:themeColor="text1"/>
          <w:sz w:val="22"/>
          <w:szCs w:val="18"/>
        </w:rPr>
      </w:pPr>
      <w:r w:rsidRPr="006334B2">
        <w:rPr>
          <w:rFonts w:ascii="Garamond" w:hAnsi="Garamond"/>
          <w:color w:val="000000" w:themeColor="text1"/>
          <w:sz w:val="22"/>
          <w:szCs w:val="18"/>
        </w:rPr>
        <w:t>2.5 Hypotheses or Research Propositions</w:t>
      </w:r>
    </w:p>
    <w:p w14:paraId="7E34708D"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Style w:val="Strong"/>
          <w:rFonts w:ascii="Garamond" w:hAnsi="Garamond"/>
          <w:b w:val="0"/>
          <w:bCs w:val="0"/>
          <w:sz w:val="22"/>
          <w:szCs w:val="22"/>
        </w:rPr>
        <w:t>Hypotheses are not developed in this study.</w:t>
      </w:r>
      <w:r w:rsidRPr="006334B2">
        <w:rPr>
          <w:rFonts w:ascii="Garamond" w:hAnsi="Garamond"/>
          <w:sz w:val="22"/>
          <w:szCs w:val="22"/>
        </w:rPr>
        <w:t xml:space="preserve"> The study employs normative legal research with a socio-legal approach and does not use a quantitative research design involving measurable variables, statistical testing, or causal estimation. Consequently, formulating statistical hypotheses would not be methodologically appropriate.</w:t>
      </w:r>
    </w:p>
    <w:p w14:paraId="3CCEBAA6" w14:textId="77777777" w:rsidR="006334B2" w:rsidRPr="006334B2" w:rsidRDefault="006334B2" w:rsidP="006334B2">
      <w:pPr>
        <w:pStyle w:val="isselectedend"/>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Likewise, the study does not formulate formal qualitative research propositions because its primary purpose is conceptual and normative analysis rather than empirical theory testing. Instead, the study uses the analytical framework presented in Section 2.4 to examine three interconnected issues: the meaning and scope of legal sociology, the concept of social justice from a socio-legal perspective, and the role of legal sociology in advancing social justice in society.</w:t>
      </w:r>
    </w:p>
    <w:p w14:paraId="61DB3BA8" w14:textId="77777777" w:rsidR="006334B2" w:rsidRPr="006334B2" w:rsidRDefault="006334B2" w:rsidP="006334B2">
      <w:pPr>
        <w:pStyle w:val="NormalWeb"/>
        <w:spacing w:before="0" w:beforeAutospacing="0" w:after="0" w:afterAutospacing="0" w:line="276" w:lineRule="auto"/>
        <w:ind w:firstLine="567"/>
        <w:jc w:val="both"/>
        <w:rPr>
          <w:rFonts w:ascii="Garamond" w:hAnsi="Garamond"/>
          <w:sz w:val="22"/>
          <w:szCs w:val="22"/>
        </w:rPr>
      </w:pPr>
      <w:r w:rsidRPr="006334B2">
        <w:rPr>
          <w:rFonts w:ascii="Garamond" w:hAnsi="Garamond"/>
          <w:sz w:val="22"/>
          <w:szCs w:val="22"/>
        </w:rPr>
        <w:t>The absence of hypotheses or formal propositions does not reduce the analytical contribution of the study. For normative socio-legal research, the principal contribution lies in synthesizing legal concepts, social conditions, institutional practices, and prior scholarly findings to explain how law can move beyond formal legality toward substantive justice. This approach is particularly relevant where the research question concerns the normative and social functions of law rather than the statistical relationship between predetermined variables.</w:t>
      </w:r>
    </w:p>
    <w:p w14:paraId="7F0CA567" w14:textId="77777777" w:rsidR="00F8470F" w:rsidRPr="00824144" w:rsidRDefault="00F8470F" w:rsidP="00F8470F">
      <w:pPr>
        <w:spacing w:line="276" w:lineRule="auto"/>
        <w:jc w:val="both"/>
        <w:rPr>
          <w:rFonts w:ascii="Garamond" w:hAnsi="Garamond"/>
          <w:sz w:val="22"/>
          <w:szCs w:val="22"/>
          <w:lang w:val="id-ID"/>
        </w:rPr>
      </w:pPr>
    </w:p>
    <w:p w14:paraId="23326E56" w14:textId="3CCE68CA" w:rsidR="00F8470F" w:rsidRPr="00824144" w:rsidRDefault="00F8470F" w:rsidP="00F8470F">
      <w:pPr>
        <w:pStyle w:val="Heading1"/>
        <w:numPr>
          <w:ilvl w:val="0"/>
          <w:numId w:val="2"/>
        </w:numPr>
        <w:suppressAutoHyphens/>
        <w:spacing w:line="276" w:lineRule="auto"/>
        <w:ind w:left="274" w:hanging="274"/>
        <w:rPr>
          <w:rFonts w:ascii="Garamond" w:hAnsi="Garamond"/>
          <w:i w:val="0"/>
          <w:color w:val="0070C0"/>
          <w:sz w:val="22"/>
          <w:szCs w:val="22"/>
        </w:rPr>
      </w:pPr>
      <w:r w:rsidRPr="00824144">
        <w:rPr>
          <w:rFonts w:ascii="Garamond" w:hAnsi="Garamond"/>
          <w:i w:val="0"/>
          <w:color w:val="002060"/>
          <w:sz w:val="22"/>
          <w:szCs w:val="22"/>
        </w:rPr>
        <w:t>Research Methods</w:t>
      </w:r>
      <w:r w:rsidRPr="00824144">
        <w:rPr>
          <w:rFonts w:ascii="Garamond" w:hAnsi="Garamond"/>
          <w:i w:val="0"/>
          <w:color w:val="002060"/>
          <w:sz w:val="22"/>
          <w:szCs w:val="22"/>
          <w:lang w:val="id-ID"/>
        </w:rPr>
        <w:t xml:space="preserve"> </w:t>
      </w:r>
    </w:p>
    <w:p w14:paraId="14229F40" w14:textId="77777777" w:rsidR="00BB4E2E" w:rsidRPr="00BB4E2E" w:rsidRDefault="00BB4E2E" w:rsidP="00BB4E2E">
      <w:pPr>
        <w:pStyle w:val="Heading3"/>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3.1</w:t>
      </w:r>
      <w:r w:rsidRPr="00BB4E2E">
        <w:rPr>
          <w:color w:val="000000" w:themeColor="text1"/>
        </w:rPr>
        <w:t xml:space="preserve"> </w:t>
      </w:r>
      <w:r w:rsidRPr="00BB4E2E">
        <w:rPr>
          <w:rFonts w:ascii="Garamond" w:hAnsi="Garamond"/>
          <w:color w:val="000000" w:themeColor="text1"/>
          <w:sz w:val="22"/>
          <w:szCs w:val="22"/>
        </w:rPr>
        <w:t>Research Design</w:t>
      </w:r>
    </w:p>
    <w:p w14:paraId="0F4404F6"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This study employed </w:t>
      </w:r>
      <w:r w:rsidRPr="00BB4E2E">
        <w:rPr>
          <w:rStyle w:val="Strong"/>
          <w:rFonts w:ascii="Garamond" w:hAnsi="Garamond"/>
          <w:b w:val="0"/>
          <w:bCs w:val="0"/>
          <w:color w:val="000000" w:themeColor="text1"/>
          <w:sz w:val="22"/>
          <w:szCs w:val="22"/>
        </w:rPr>
        <w:t>normative legal research</w:t>
      </w:r>
      <w:r w:rsidRPr="00BB4E2E">
        <w:rPr>
          <w:rFonts w:ascii="Garamond" w:hAnsi="Garamond"/>
          <w:color w:val="000000" w:themeColor="text1"/>
          <w:sz w:val="22"/>
          <w:szCs w:val="22"/>
        </w:rPr>
        <w:t xml:space="preserve"> using a conceptual approach and a socio-legal approach. Normative legal research was selected because the study focused on legal norms, theories, principles, and concepts relevant to legal sociology and social justice. This research design was considered appropriate for examining the conceptual and normative dimensions of the relationship between law and society and for </w:t>
      </w:r>
      <w:proofErr w:type="spellStart"/>
      <w:r w:rsidRPr="00BB4E2E">
        <w:rPr>
          <w:rFonts w:ascii="Garamond" w:hAnsi="Garamond"/>
          <w:color w:val="000000" w:themeColor="text1"/>
          <w:sz w:val="22"/>
          <w:szCs w:val="22"/>
        </w:rPr>
        <w:t>analyzing</w:t>
      </w:r>
      <w:proofErr w:type="spellEnd"/>
      <w:r w:rsidRPr="00BB4E2E">
        <w:rPr>
          <w:rFonts w:ascii="Garamond" w:hAnsi="Garamond"/>
          <w:color w:val="000000" w:themeColor="text1"/>
          <w:sz w:val="22"/>
          <w:szCs w:val="22"/>
        </w:rPr>
        <w:t xml:space="preserve"> the role of law in advancing social justice.</w:t>
      </w:r>
    </w:p>
    <w:p w14:paraId="3F7F1960"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The conceptual approach (</w:t>
      </w:r>
      <w:r w:rsidRPr="00BB4E2E">
        <w:rPr>
          <w:rStyle w:val="Emphasis"/>
          <w:rFonts w:ascii="Garamond" w:hAnsi="Garamond"/>
          <w:color w:val="000000" w:themeColor="text1"/>
          <w:sz w:val="22"/>
          <w:szCs w:val="22"/>
        </w:rPr>
        <w:t>conceptual approach</w:t>
      </w:r>
      <w:r w:rsidRPr="00BB4E2E">
        <w:rPr>
          <w:rFonts w:ascii="Garamond" w:hAnsi="Garamond"/>
          <w:color w:val="000000" w:themeColor="text1"/>
          <w:sz w:val="22"/>
          <w:szCs w:val="22"/>
        </w:rPr>
        <w:t>) was used to examine concepts and theories developed within legal sociology, particularly those concerning the relationship between law and society and the role of law in creating social justice. This approach focused on the ideas of legal scholars, legal doctrines, and theoretical developments explaining the function of law as a means of social control and as an instrument of social engineering (</w:t>
      </w:r>
      <w:r w:rsidRPr="00BB4E2E">
        <w:rPr>
          <w:rStyle w:val="Emphasis"/>
          <w:rFonts w:ascii="Garamond" w:hAnsi="Garamond"/>
          <w:color w:val="000000" w:themeColor="text1"/>
          <w:sz w:val="22"/>
          <w:szCs w:val="22"/>
        </w:rPr>
        <w:t>law as a tool of social engineering</w:t>
      </w:r>
      <w:r w:rsidRPr="00BB4E2E">
        <w:rPr>
          <w:rFonts w:ascii="Garamond" w:hAnsi="Garamond"/>
          <w:color w:val="000000" w:themeColor="text1"/>
          <w:sz w:val="22"/>
          <w:szCs w:val="22"/>
        </w:rPr>
        <w:t>).</w:t>
      </w:r>
    </w:p>
    <w:p w14:paraId="09FD40B5"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In addition, a socio-legal approach (</w:t>
      </w:r>
      <w:r w:rsidRPr="00BB4E2E">
        <w:rPr>
          <w:rStyle w:val="Emphasis"/>
          <w:rFonts w:ascii="Garamond" w:hAnsi="Garamond"/>
          <w:color w:val="000000" w:themeColor="text1"/>
          <w:sz w:val="22"/>
          <w:szCs w:val="22"/>
        </w:rPr>
        <w:t>socio-legal approach</w:t>
      </w:r>
      <w:r w:rsidRPr="00BB4E2E">
        <w:rPr>
          <w:rFonts w:ascii="Garamond" w:hAnsi="Garamond"/>
          <w:color w:val="000000" w:themeColor="text1"/>
          <w:sz w:val="22"/>
          <w:szCs w:val="22"/>
        </w:rPr>
        <w:t>) was employed to understand law within the context of social reality. This approach examined law not only as written rules (</w:t>
      </w:r>
      <w:r w:rsidRPr="00BB4E2E">
        <w:rPr>
          <w:rStyle w:val="Emphasis"/>
          <w:rFonts w:ascii="Garamond" w:hAnsi="Garamond"/>
          <w:color w:val="000000" w:themeColor="text1"/>
          <w:sz w:val="22"/>
          <w:szCs w:val="22"/>
        </w:rPr>
        <w:t>law in the books</w:t>
      </w:r>
      <w:r w:rsidRPr="00BB4E2E">
        <w:rPr>
          <w:rFonts w:ascii="Garamond" w:hAnsi="Garamond"/>
          <w:color w:val="000000" w:themeColor="text1"/>
          <w:sz w:val="22"/>
          <w:szCs w:val="22"/>
        </w:rPr>
        <w:t>) but also as social practices (</w:t>
      </w:r>
      <w:r w:rsidRPr="00BB4E2E">
        <w:rPr>
          <w:rStyle w:val="Emphasis"/>
          <w:rFonts w:ascii="Garamond" w:hAnsi="Garamond"/>
          <w:color w:val="000000" w:themeColor="text1"/>
          <w:sz w:val="22"/>
          <w:szCs w:val="22"/>
        </w:rPr>
        <w:t>law in action</w:t>
      </w:r>
      <w:r w:rsidRPr="00BB4E2E">
        <w:rPr>
          <w:rFonts w:ascii="Garamond" w:hAnsi="Garamond"/>
          <w:color w:val="000000" w:themeColor="text1"/>
          <w:sz w:val="22"/>
          <w:szCs w:val="22"/>
        </w:rPr>
        <w:t>) influenced by social values, culture, social structures, and the economic conditions of society.</w:t>
      </w:r>
    </w:p>
    <w:p w14:paraId="07D0F8F0" w14:textId="77777777" w:rsidR="00BB4E2E" w:rsidRDefault="00BB4E2E" w:rsidP="00BB4E2E">
      <w:pPr>
        <w:pStyle w:val="Heading3"/>
        <w:spacing w:before="0" w:line="276" w:lineRule="auto"/>
        <w:jc w:val="both"/>
        <w:rPr>
          <w:rFonts w:ascii="Garamond" w:hAnsi="Garamond"/>
          <w:color w:val="000000" w:themeColor="text1"/>
          <w:sz w:val="22"/>
          <w:szCs w:val="22"/>
        </w:rPr>
      </w:pPr>
    </w:p>
    <w:p w14:paraId="53A82882" w14:textId="3EEC3C45" w:rsidR="00BB4E2E" w:rsidRPr="00BB4E2E" w:rsidRDefault="00BB4E2E" w:rsidP="00BB4E2E">
      <w:pPr>
        <w:pStyle w:val="Heading3"/>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3.2 Research Context and Setting</w:t>
      </w:r>
    </w:p>
    <w:p w14:paraId="7526EB60"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The research was conducted within the context of the Indonesian legal and social system, with particular attention to the relationship between legal norms and social conditions in Indonesian society. Indonesia was selected as the contextual setting because its legal system operates within a </w:t>
      </w:r>
      <w:r w:rsidRPr="00BB4E2E">
        <w:rPr>
          <w:rFonts w:ascii="Garamond" w:hAnsi="Garamond"/>
          <w:color w:val="000000" w:themeColor="text1"/>
          <w:sz w:val="22"/>
          <w:szCs w:val="22"/>
        </w:rPr>
        <w:lastRenderedPageBreak/>
        <w:t>diverse social, cultural, and economic environment and constitutionally recognizes Indonesia as a state based on law.</w:t>
      </w:r>
    </w:p>
    <w:p w14:paraId="7120AE25"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The research context was therefore not limited to a particular institution, organization, or geographical location. Instead, it encompassed the broader social and legal context in which Indonesian legal norms operate. This context was relevant to examining how legal principles and institutions interact with social realities in the pursuit of social justice.</w:t>
      </w:r>
    </w:p>
    <w:p w14:paraId="28267AD4" w14:textId="77777777" w:rsidR="00BB4E2E" w:rsidRDefault="00BB4E2E" w:rsidP="00BB4E2E">
      <w:pPr>
        <w:pStyle w:val="Heading3"/>
        <w:spacing w:before="0" w:line="276" w:lineRule="auto"/>
        <w:jc w:val="both"/>
        <w:rPr>
          <w:rFonts w:ascii="Garamond" w:hAnsi="Garamond"/>
          <w:color w:val="000000" w:themeColor="text1"/>
          <w:sz w:val="22"/>
          <w:szCs w:val="22"/>
        </w:rPr>
      </w:pPr>
    </w:p>
    <w:p w14:paraId="0DC5AD6B" w14:textId="6B5B2E81" w:rsidR="00BB4E2E" w:rsidRPr="00BB4E2E" w:rsidRDefault="00BB4E2E" w:rsidP="00BB4E2E">
      <w:pPr>
        <w:pStyle w:val="Heading3"/>
        <w:numPr>
          <w:ilvl w:val="1"/>
          <w:numId w:val="37"/>
        </w:numPr>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Population and Sample / Research Participants</w:t>
      </w:r>
    </w:p>
    <w:p w14:paraId="739A8B9A"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This study did not involve a population, sample, or human research participants because it was designed as normative legal research rather than empirical research involving respondents or informants. Consequently, sampling techniques and sample-size calculations were not applicable.</w:t>
      </w:r>
    </w:p>
    <w:p w14:paraId="0AEA99D2"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The objects of analysis consisted of legal norms, legal concepts, theoretical perspectives, legal doctrines, and relevant scholarly discussions concerning legal sociology and social justice. The absence of human participants was consistent with the normative and conceptual nature of the research.</w:t>
      </w:r>
    </w:p>
    <w:p w14:paraId="4C0D61B4" w14:textId="77777777" w:rsidR="00BB4E2E" w:rsidRDefault="00BB4E2E" w:rsidP="00BB4E2E">
      <w:pPr>
        <w:pStyle w:val="Heading3"/>
        <w:spacing w:before="0" w:line="276" w:lineRule="auto"/>
        <w:jc w:val="both"/>
        <w:rPr>
          <w:rFonts w:ascii="Garamond" w:hAnsi="Garamond"/>
          <w:color w:val="000000" w:themeColor="text1"/>
          <w:sz w:val="22"/>
          <w:szCs w:val="22"/>
        </w:rPr>
      </w:pPr>
    </w:p>
    <w:p w14:paraId="651BBEF7" w14:textId="52B6DB71" w:rsidR="00BB4E2E" w:rsidRPr="00BB4E2E" w:rsidRDefault="00BB4E2E" w:rsidP="00BB4E2E">
      <w:pPr>
        <w:pStyle w:val="Heading3"/>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3.4 Data Sources and Data Collection</w:t>
      </w:r>
    </w:p>
    <w:p w14:paraId="7479F3FA"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The study relied on </w:t>
      </w:r>
      <w:r w:rsidRPr="00BB4E2E">
        <w:rPr>
          <w:rStyle w:val="Strong"/>
          <w:rFonts w:ascii="Garamond" w:hAnsi="Garamond"/>
          <w:b w:val="0"/>
          <w:bCs w:val="0"/>
          <w:color w:val="000000" w:themeColor="text1"/>
          <w:sz w:val="22"/>
          <w:szCs w:val="22"/>
        </w:rPr>
        <w:t>secondary legal and scholarly materials</w:t>
      </w:r>
      <w:r w:rsidRPr="00BB4E2E">
        <w:rPr>
          <w:rFonts w:ascii="Garamond" w:hAnsi="Garamond"/>
          <w:color w:val="000000" w:themeColor="text1"/>
          <w:sz w:val="22"/>
          <w:szCs w:val="22"/>
        </w:rPr>
        <w:t xml:space="preserve"> rather than primary empirical data collected from respondents. The materials examined consisted of relevant legal norms, legal doctrines, theoretical literature, and scholarly publications concerning legal sociology, the relationship between law and society, social justice, social control, and social engineering.</w:t>
      </w:r>
    </w:p>
    <w:p w14:paraId="10131D9E" w14:textId="77777777" w:rsid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Data collection was conducted through </w:t>
      </w:r>
      <w:r w:rsidRPr="00BB4E2E">
        <w:rPr>
          <w:rStyle w:val="Strong"/>
          <w:rFonts w:ascii="Garamond" w:hAnsi="Garamond"/>
          <w:b w:val="0"/>
          <w:bCs w:val="0"/>
          <w:color w:val="000000" w:themeColor="text1"/>
          <w:sz w:val="22"/>
          <w:szCs w:val="22"/>
        </w:rPr>
        <w:t>documentary and literature-based research</w:t>
      </w:r>
      <w:r w:rsidRPr="00BB4E2E">
        <w:rPr>
          <w:rFonts w:ascii="Garamond" w:hAnsi="Garamond"/>
          <w:color w:val="000000" w:themeColor="text1"/>
          <w:sz w:val="22"/>
          <w:szCs w:val="22"/>
        </w:rPr>
        <w:t>. Relevant materials were identified, examined, organized, and interpreted according to their relevance to the research questions. Particular attention was given to materials that explain the relationship between legal norms and social realities and the role of law in protecting rights and promoting social justice.</w:t>
      </w:r>
    </w:p>
    <w:p w14:paraId="2C00381A" w14:textId="77777777" w:rsidR="00BB4E2E" w:rsidRDefault="00BB4E2E" w:rsidP="00BB4E2E">
      <w:pPr>
        <w:pStyle w:val="isselectedend"/>
        <w:spacing w:before="0" w:beforeAutospacing="0" w:after="0" w:afterAutospacing="0" w:line="276" w:lineRule="auto"/>
        <w:ind w:left="284"/>
        <w:jc w:val="both"/>
        <w:rPr>
          <w:rFonts w:ascii="Garamond" w:hAnsi="Garamond"/>
          <w:color w:val="000000" w:themeColor="text1"/>
          <w:sz w:val="22"/>
          <w:szCs w:val="22"/>
        </w:rPr>
      </w:pPr>
    </w:p>
    <w:p w14:paraId="40B59AA3" w14:textId="3512C444" w:rsidR="00BB4E2E" w:rsidRPr="00BB4E2E" w:rsidRDefault="00BB4E2E" w:rsidP="00BB4E2E">
      <w:pPr>
        <w:pStyle w:val="isselectedend"/>
        <w:numPr>
          <w:ilvl w:val="1"/>
          <w:numId w:val="38"/>
        </w:numPr>
        <w:spacing w:before="0" w:beforeAutospacing="0" w:after="0" w:afterAutospacing="0" w:line="276" w:lineRule="auto"/>
        <w:ind w:left="284" w:hanging="284"/>
        <w:jc w:val="both"/>
        <w:rPr>
          <w:rFonts w:ascii="Garamond" w:hAnsi="Garamond"/>
          <w:b/>
          <w:bCs/>
          <w:color w:val="000000" w:themeColor="text1"/>
          <w:sz w:val="22"/>
          <w:szCs w:val="22"/>
        </w:rPr>
      </w:pPr>
      <w:r w:rsidRPr="00BB4E2E">
        <w:rPr>
          <w:rFonts w:ascii="Garamond" w:hAnsi="Garamond"/>
          <w:b/>
          <w:bCs/>
          <w:color w:val="000000" w:themeColor="text1"/>
          <w:sz w:val="22"/>
          <w:szCs w:val="22"/>
        </w:rPr>
        <w:t>Measurement of Variables and Research Instruments</w:t>
      </w:r>
    </w:p>
    <w:p w14:paraId="11FA39BB"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The study did not employ measurable variables or quantitative research instruments </w:t>
      </w:r>
      <w:r w:rsidRPr="00BB4E2E">
        <w:rPr>
          <w:rFonts w:ascii="Garamond" w:hAnsi="Garamond"/>
          <w:color w:val="000000" w:themeColor="text1"/>
          <w:sz w:val="22"/>
          <w:szCs w:val="22"/>
        </w:rPr>
        <w:t xml:space="preserve">because it was not designed to test statistical relationships between variables. Instead, the principal analytical concepts were </w:t>
      </w:r>
      <w:r w:rsidRPr="00BB4E2E">
        <w:rPr>
          <w:rStyle w:val="Strong"/>
          <w:rFonts w:ascii="Garamond" w:hAnsi="Garamond"/>
          <w:b w:val="0"/>
          <w:bCs w:val="0"/>
          <w:color w:val="000000" w:themeColor="text1"/>
          <w:sz w:val="22"/>
          <w:szCs w:val="22"/>
        </w:rPr>
        <w:t>legal sociology, law and society, social justice, law in the books, law in action, social control, and social engineering</w:t>
      </w:r>
      <w:r w:rsidRPr="00BB4E2E">
        <w:rPr>
          <w:rFonts w:ascii="Garamond" w:hAnsi="Garamond"/>
          <w:color w:val="000000" w:themeColor="text1"/>
          <w:sz w:val="22"/>
          <w:szCs w:val="22"/>
        </w:rPr>
        <w:t>.</w:t>
      </w:r>
    </w:p>
    <w:p w14:paraId="47857E98"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These concepts functioned as analytical categories for examining the relationship between legal norms and social realities. The conceptual analysis focused on how law operates within society and how social values, culture, social structures, and economic conditions influence the implementation and effectiveness of legal norms.</w:t>
      </w:r>
    </w:p>
    <w:p w14:paraId="675667E1"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Accordingly, construct measurement, measurement scales, questionnaires, and statistical instruments were not applicable to this study.</w:t>
      </w:r>
    </w:p>
    <w:p w14:paraId="56C15A6D" w14:textId="77777777" w:rsidR="00BB4E2E" w:rsidRDefault="00BB4E2E" w:rsidP="00BB4E2E">
      <w:pPr>
        <w:pStyle w:val="Heading3"/>
        <w:spacing w:before="0" w:line="276" w:lineRule="auto"/>
        <w:jc w:val="both"/>
        <w:rPr>
          <w:rFonts w:ascii="Garamond" w:hAnsi="Garamond"/>
          <w:color w:val="000000" w:themeColor="text1"/>
          <w:sz w:val="22"/>
          <w:szCs w:val="22"/>
        </w:rPr>
      </w:pPr>
    </w:p>
    <w:p w14:paraId="78DC1AB2" w14:textId="1856D8A1" w:rsidR="00BB4E2E" w:rsidRPr="00BB4E2E" w:rsidRDefault="00BB4E2E" w:rsidP="00BB4E2E">
      <w:pPr>
        <w:pStyle w:val="Heading3"/>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3.6 Data Analysis Techniques</w:t>
      </w:r>
    </w:p>
    <w:p w14:paraId="2EF91773"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The collected legal and scholarly materials were </w:t>
      </w:r>
      <w:proofErr w:type="spellStart"/>
      <w:r w:rsidRPr="00BB4E2E">
        <w:rPr>
          <w:rFonts w:ascii="Garamond" w:hAnsi="Garamond"/>
          <w:color w:val="000000" w:themeColor="text1"/>
          <w:sz w:val="22"/>
          <w:szCs w:val="22"/>
        </w:rPr>
        <w:t>analyzed</w:t>
      </w:r>
      <w:proofErr w:type="spellEnd"/>
      <w:r w:rsidRPr="00BB4E2E">
        <w:rPr>
          <w:rFonts w:ascii="Garamond" w:hAnsi="Garamond"/>
          <w:color w:val="000000" w:themeColor="text1"/>
          <w:sz w:val="22"/>
          <w:szCs w:val="22"/>
        </w:rPr>
        <w:t xml:space="preserve"> using </w:t>
      </w:r>
      <w:r w:rsidRPr="00BB4E2E">
        <w:rPr>
          <w:rStyle w:val="Strong"/>
          <w:rFonts w:ascii="Garamond" w:hAnsi="Garamond"/>
          <w:b w:val="0"/>
          <w:bCs w:val="0"/>
          <w:color w:val="000000" w:themeColor="text1"/>
          <w:sz w:val="22"/>
          <w:szCs w:val="22"/>
        </w:rPr>
        <w:t>qualitative normative legal analysis</w:t>
      </w:r>
      <w:r w:rsidRPr="00BB4E2E">
        <w:rPr>
          <w:rFonts w:ascii="Garamond" w:hAnsi="Garamond"/>
          <w:color w:val="000000" w:themeColor="text1"/>
          <w:sz w:val="22"/>
          <w:szCs w:val="22"/>
        </w:rPr>
        <w:t xml:space="preserve"> combined with conceptual and socio-legal interpretation. The analysis involved identifying relevant legal concepts and principles, examining their theoretical foundations, and interpreting their relationship with social realities.</w:t>
      </w:r>
    </w:p>
    <w:p w14:paraId="25056920"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The conceptual analysis was used to clarify the meaning and scope of legal sociology and social justice, while the socio-legal analysis was used to examine the interaction between legal norms and social conditions. Particular attention was given to the relationship between </w:t>
      </w:r>
      <w:r w:rsidRPr="00BB4E2E">
        <w:rPr>
          <w:rStyle w:val="Emphasis"/>
          <w:rFonts w:ascii="Garamond" w:hAnsi="Garamond"/>
          <w:color w:val="000000" w:themeColor="text1"/>
          <w:sz w:val="22"/>
          <w:szCs w:val="22"/>
        </w:rPr>
        <w:t>law in the books</w:t>
      </w:r>
      <w:r w:rsidRPr="00BB4E2E">
        <w:rPr>
          <w:rFonts w:ascii="Garamond" w:hAnsi="Garamond"/>
          <w:color w:val="000000" w:themeColor="text1"/>
          <w:sz w:val="22"/>
          <w:szCs w:val="22"/>
        </w:rPr>
        <w:t xml:space="preserve"> and </w:t>
      </w:r>
      <w:r w:rsidRPr="00BB4E2E">
        <w:rPr>
          <w:rStyle w:val="Emphasis"/>
          <w:rFonts w:ascii="Garamond" w:hAnsi="Garamond"/>
          <w:color w:val="000000" w:themeColor="text1"/>
          <w:sz w:val="22"/>
          <w:szCs w:val="22"/>
        </w:rPr>
        <w:t>law in action</w:t>
      </w:r>
      <w:r w:rsidRPr="00BB4E2E">
        <w:rPr>
          <w:rFonts w:ascii="Garamond" w:hAnsi="Garamond"/>
          <w:color w:val="000000" w:themeColor="text1"/>
          <w:sz w:val="22"/>
          <w:szCs w:val="22"/>
        </w:rPr>
        <w:t xml:space="preserve"> in order to understand how legal rules operate within society.</w:t>
      </w:r>
    </w:p>
    <w:p w14:paraId="758E86D0" w14:textId="371942AA"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The analysis was conducted systematically by comparing relevant legal concepts, theoretical arguments, and scholarly perspectives and then synthesizing the findings into an integrated explanation of the role of legal sociology in advancing social justice.</w:t>
      </w:r>
    </w:p>
    <w:p w14:paraId="739F41DC" w14:textId="77777777" w:rsidR="00BB4E2E" w:rsidRPr="00BB4E2E" w:rsidRDefault="00BB4E2E" w:rsidP="00BB4E2E">
      <w:pPr>
        <w:pStyle w:val="Heading3"/>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3.7 Validity, Reliability, and Trustworthiness</w:t>
      </w:r>
    </w:p>
    <w:p w14:paraId="3FAE8A69"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Because this study did not employ quantitative instruments or human participants, conventional statistical tests of validity and reliability were not applicable. Instead, the quality and trustworthiness of the analysis were maintained through </w:t>
      </w:r>
      <w:r w:rsidRPr="00BB4E2E">
        <w:rPr>
          <w:rStyle w:val="Strong"/>
          <w:rFonts w:ascii="Garamond" w:hAnsi="Garamond"/>
          <w:b w:val="0"/>
          <w:bCs w:val="0"/>
          <w:color w:val="000000" w:themeColor="text1"/>
          <w:sz w:val="22"/>
          <w:szCs w:val="22"/>
        </w:rPr>
        <w:t>source relevance, conceptual consistency, and systematic interpretation of legal and scholarly materials</w:t>
      </w:r>
      <w:r w:rsidRPr="00BB4E2E">
        <w:rPr>
          <w:rFonts w:ascii="Garamond" w:hAnsi="Garamond"/>
          <w:color w:val="000000" w:themeColor="text1"/>
          <w:sz w:val="22"/>
          <w:szCs w:val="22"/>
        </w:rPr>
        <w:t>.</w:t>
      </w:r>
    </w:p>
    <w:p w14:paraId="2600B0CB"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The analysis was based on materials that were directly relevant to the research questions. Interpretations were developed by comparing legal </w:t>
      </w:r>
      <w:r w:rsidRPr="00BB4E2E">
        <w:rPr>
          <w:rFonts w:ascii="Garamond" w:hAnsi="Garamond"/>
          <w:color w:val="000000" w:themeColor="text1"/>
          <w:sz w:val="22"/>
          <w:szCs w:val="22"/>
        </w:rPr>
        <w:lastRenderedPageBreak/>
        <w:t>concepts, theoretical perspectives, and scholarly arguments to ensure consistency between the sources examined and the conclusions drawn. The distinction between normative legal analysis and socio-legal interpretation was also maintained throughout the analytical process.</w:t>
      </w:r>
    </w:p>
    <w:p w14:paraId="097E19BE" w14:textId="77777777" w:rsidR="00BB4E2E" w:rsidRDefault="00BB4E2E" w:rsidP="00BB4E2E">
      <w:pPr>
        <w:pStyle w:val="Heading3"/>
        <w:spacing w:before="0" w:line="276" w:lineRule="auto"/>
        <w:jc w:val="both"/>
        <w:rPr>
          <w:rFonts w:ascii="Garamond" w:hAnsi="Garamond"/>
          <w:color w:val="000000" w:themeColor="text1"/>
          <w:sz w:val="22"/>
          <w:szCs w:val="22"/>
        </w:rPr>
      </w:pPr>
    </w:p>
    <w:p w14:paraId="038B1CA3" w14:textId="77D6E0E1" w:rsidR="00BB4E2E" w:rsidRPr="00BB4E2E" w:rsidRDefault="00BB4E2E" w:rsidP="00BB4E2E">
      <w:pPr>
        <w:pStyle w:val="Heading3"/>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3.8 Ethical Considerations</w:t>
      </w:r>
    </w:p>
    <w:p w14:paraId="0AD6583C"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The study did not involve human participants, personal data, interviews, surveys, or experimental procedures. Therefore, informed consent, participant confidentiality, and personal-data protection were not applicable in the same manner as they would be in empirical research involving human subjects.</w:t>
      </w:r>
    </w:p>
    <w:p w14:paraId="5C03A00E"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Nevertheless, academic and research ethics were maintained through accurate representation of legal concepts and scholarly arguments, appropriate acknowledgment of sources, and avoidance of plagiarism, fabrication, and distortion of the ideas contained in the sources used.</w:t>
      </w:r>
    </w:p>
    <w:p w14:paraId="49EE1358" w14:textId="77777777" w:rsidR="00BB4E2E" w:rsidRDefault="00BB4E2E" w:rsidP="00BB4E2E">
      <w:pPr>
        <w:pStyle w:val="Heading3"/>
        <w:spacing w:before="0" w:line="276" w:lineRule="auto"/>
        <w:jc w:val="both"/>
        <w:rPr>
          <w:rFonts w:ascii="Garamond" w:hAnsi="Garamond"/>
          <w:color w:val="000000" w:themeColor="text1"/>
          <w:sz w:val="22"/>
          <w:szCs w:val="22"/>
        </w:rPr>
      </w:pPr>
    </w:p>
    <w:p w14:paraId="12202403" w14:textId="45AE4732" w:rsidR="00BB4E2E" w:rsidRPr="00BB4E2E" w:rsidRDefault="00BB4E2E" w:rsidP="00BB4E2E">
      <w:pPr>
        <w:pStyle w:val="Heading3"/>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3.9 Research Procedure</w:t>
      </w:r>
    </w:p>
    <w:p w14:paraId="76124248"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The research procedure consisted of several sequential stages. First, the research problem concerning the role of legal sociology in advancing social justice was identified. Second, relevant legal concepts, theories, doctrines, and scholarly literature were identified and collected. Third, the collected materials were classified according to their relevance to legal sociology, social justice, the relationship between law and society, and the implementation of legal norms.</w:t>
      </w:r>
    </w:p>
    <w:p w14:paraId="3585B107" w14:textId="77777777" w:rsid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 xml:space="preserve">Fourth, the materials were </w:t>
      </w:r>
      <w:proofErr w:type="spellStart"/>
      <w:r w:rsidRPr="00BB4E2E">
        <w:rPr>
          <w:rFonts w:ascii="Garamond" w:hAnsi="Garamond"/>
          <w:color w:val="000000" w:themeColor="text1"/>
          <w:sz w:val="22"/>
          <w:szCs w:val="22"/>
        </w:rPr>
        <w:t>analyzed</w:t>
      </w:r>
      <w:proofErr w:type="spellEnd"/>
      <w:r w:rsidRPr="00BB4E2E">
        <w:rPr>
          <w:rFonts w:ascii="Garamond" w:hAnsi="Garamond"/>
          <w:color w:val="000000" w:themeColor="text1"/>
          <w:sz w:val="22"/>
          <w:szCs w:val="22"/>
        </w:rPr>
        <w:t xml:space="preserve"> using the conceptual and socio-legal approaches. The conceptual analysis examined the theoretical meaning and relationships among the principal concepts, while the socio-legal analysis examined how legal norms interact with social values, culture, social structures, and economic conditions. Fifth, the results of the analysis were synthesized to explain the relationship between legal norms and social realities. Finally, conclusions were formulated </w:t>
      </w:r>
      <w:r w:rsidRPr="00BB4E2E">
        <w:rPr>
          <w:rFonts w:ascii="Garamond" w:hAnsi="Garamond"/>
          <w:color w:val="000000" w:themeColor="text1"/>
          <w:sz w:val="22"/>
          <w:szCs w:val="22"/>
        </w:rPr>
        <w:t>concerning the role of legal sociology in advancing social justice in society.</w:t>
      </w:r>
    </w:p>
    <w:p w14:paraId="541EA7D4" w14:textId="77777777" w:rsidR="003A6CA3" w:rsidRPr="00BB4E2E" w:rsidRDefault="003A6CA3"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p>
    <w:p w14:paraId="266386FA" w14:textId="77777777" w:rsidR="00BB4E2E" w:rsidRPr="00BB4E2E" w:rsidRDefault="00BB4E2E" w:rsidP="00BB4E2E">
      <w:pPr>
        <w:pStyle w:val="Heading3"/>
        <w:spacing w:before="0" w:line="276" w:lineRule="auto"/>
        <w:jc w:val="both"/>
        <w:rPr>
          <w:rFonts w:ascii="Garamond" w:hAnsi="Garamond"/>
          <w:color w:val="000000" w:themeColor="text1"/>
          <w:sz w:val="22"/>
          <w:szCs w:val="22"/>
        </w:rPr>
      </w:pPr>
      <w:r w:rsidRPr="00BB4E2E">
        <w:rPr>
          <w:rFonts w:ascii="Garamond" w:hAnsi="Garamond"/>
          <w:color w:val="000000" w:themeColor="text1"/>
          <w:sz w:val="22"/>
          <w:szCs w:val="22"/>
        </w:rPr>
        <w:t>3.10 Methodological Limitations</w:t>
      </w:r>
    </w:p>
    <w:p w14:paraId="533DE4CF"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This study has several methodological limitations. First, as normative legal research, it primarily examines legal norms, concepts, theories, doctrines, and scholarly literature and therefore does not provide primary empirical evidence regarding how particular communities experience or respond to legal institutions.</w:t>
      </w:r>
    </w:p>
    <w:p w14:paraId="087FB7B0" w14:textId="77777777" w:rsidR="00BB4E2E" w:rsidRPr="00BB4E2E" w:rsidRDefault="00BB4E2E" w:rsidP="00BB4E2E">
      <w:pPr>
        <w:pStyle w:val="isselectedend"/>
        <w:spacing w:before="0" w:beforeAutospacing="0" w:after="0" w:afterAutospacing="0" w:line="276" w:lineRule="auto"/>
        <w:ind w:firstLine="567"/>
        <w:jc w:val="both"/>
        <w:rPr>
          <w:rFonts w:ascii="Garamond" w:hAnsi="Garamond"/>
          <w:color w:val="000000" w:themeColor="text1"/>
          <w:sz w:val="22"/>
          <w:szCs w:val="22"/>
        </w:rPr>
      </w:pPr>
      <w:r w:rsidRPr="00BB4E2E">
        <w:rPr>
          <w:rFonts w:ascii="Garamond" w:hAnsi="Garamond"/>
          <w:color w:val="000000" w:themeColor="text1"/>
          <w:sz w:val="22"/>
          <w:szCs w:val="22"/>
        </w:rPr>
        <w:t>Second, the socio-legal approach used in this study provides an analytical understanding of the relationship between law and society but does not statistically measure the magnitude of the influence of particular social factors on legal outcomes. Third, because the study does not employ interviews, surveys, or other empirical instruments, its findings should not be interpreted as statistically generalizable to all Indonesian communities.</w:t>
      </w:r>
    </w:p>
    <w:p w14:paraId="26B6904A" w14:textId="77777777" w:rsidR="00BB4E2E" w:rsidRPr="00BB4E2E" w:rsidRDefault="00BB4E2E" w:rsidP="00BB4E2E">
      <w:pPr>
        <w:pStyle w:val="NormalWeb"/>
        <w:spacing w:before="0" w:beforeAutospacing="0" w:after="0" w:afterAutospacing="0" w:line="276" w:lineRule="auto"/>
        <w:ind w:firstLine="567"/>
        <w:jc w:val="both"/>
        <w:rPr>
          <w:rFonts w:ascii="Garamond" w:hAnsi="Garamond"/>
          <w:sz w:val="22"/>
          <w:szCs w:val="22"/>
        </w:rPr>
      </w:pPr>
      <w:r w:rsidRPr="00BB4E2E">
        <w:rPr>
          <w:rFonts w:ascii="Garamond" w:hAnsi="Garamond"/>
          <w:color w:val="000000" w:themeColor="text1"/>
          <w:sz w:val="22"/>
          <w:szCs w:val="22"/>
        </w:rPr>
        <w:t>Despite these limitations, the normative and socio-legal design is appropriate for the objectives of this study because it enables an integrated examination of legal norms and the social conditions in which those norms operate. The limitations also provide opportunities for future empirical research to examine the practical implementation of the findings through qualitative interviews, surveys</w:t>
      </w:r>
      <w:r>
        <w:t xml:space="preserve">, </w:t>
      </w:r>
      <w:r w:rsidRPr="00BB4E2E">
        <w:rPr>
          <w:rFonts w:ascii="Garamond" w:hAnsi="Garamond"/>
          <w:sz w:val="22"/>
          <w:szCs w:val="22"/>
        </w:rPr>
        <w:t>or mixed-method approaches.</w:t>
      </w:r>
    </w:p>
    <w:p w14:paraId="59BFB171" w14:textId="77777777" w:rsidR="00F8470F" w:rsidRPr="00824144" w:rsidRDefault="00F8470F" w:rsidP="00F8470F">
      <w:pPr>
        <w:spacing w:line="276" w:lineRule="auto"/>
        <w:ind w:firstLine="567"/>
        <w:jc w:val="both"/>
        <w:rPr>
          <w:rFonts w:ascii="Garamond" w:hAnsi="Garamond"/>
          <w:color w:val="0070C0"/>
          <w:sz w:val="22"/>
          <w:szCs w:val="22"/>
        </w:rPr>
      </w:pPr>
    </w:p>
    <w:p w14:paraId="6204CEC8" w14:textId="77777777" w:rsidR="008D17DA" w:rsidRDefault="00F8470F" w:rsidP="003A6CA3">
      <w:pPr>
        <w:pStyle w:val="Heading1"/>
        <w:numPr>
          <w:ilvl w:val="0"/>
          <w:numId w:val="2"/>
        </w:numPr>
        <w:suppressAutoHyphens/>
        <w:spacing w:line="276" w:lineRule="auto"/>
        <w:ind w:left="274" w:hanging="274"/>
        <w:rPr>
          <w:rFonts w:ascii="Garamond" w:hAnsi="Garamond"/>
          <w:i w:val="0"/>
          <w:color w:val="002060"/>
          <w:sz w:val="22"/>
          <w:szCs w:val="22"/>
          <w:lang w:val="id-ID"/>
        </w:rPr>
      </w:pPr>
      <w:r w:rsidRPr="00824144">
        <w:rPr>
          <w:rFonts w:ascii="Garamond" w:hAnsi="Garamond"/>
          <w:i w:val="0"/>
          <w:color w:val="002060"/>
          <w:sz w:val="22"/>
          <w:szCs w:val="22"/>
        </w:rPr>
        <w:t>Results and Discussion</w:t>
      </w:r>
      <w:r w:rsidRPr="00824144">
        <w:rPr>
          <w:rFonts w:ascii="Garamond" w:hAnsi="Garamond"/>
          <w:i w:val="0"/>
          <w:color w:val="002060"/>
          <w:sz w:val="22"/>
          <w:szCs w:val="22"/>
          <w:lang w:val="id-ID"/>
        </w:rPr>
        <w:t xml:space="preserve"> </w:t>
      </w:r>
    </w:p>
    <w:p w14:paraId="37549906" w14:textId="70102E0B" w:rsidR="008D17DA" w:rsidRPr="008D17DA" w:rsidRDefault="008D17DA" w:rsidP="003A6CA3">
      <w:pPr>
        <w:spacing w:line="276" w:lineRule="auto"/>
        <w:rPr>
          <w:rFonts w:ascii="Garamond" w:hAnsi="Garamond"/>
          <w:b/>
          <w:bCs/>
          <w:lang w:val="id-ID"/>
        </w:rPr>
      </w:pPr>
      <w:r w:rsidRPr="008D17DA">
        <w:rPr>
          <w:rFonts w:ascii="Garamond" w:hAnsi="Garamond"/>
          <w:b/>
          <w:bCs/>
          <w:sz w:val="22"/>
          <w:szCs w:val="18"/>
          <w:lang w:val="id-ID"/>
        </w:rPr>
        <w:t xml:space="preserve">4.1 </w:t>
      </w:r>
      <w:proofErr w:type="spellStart"/>
      <w:r w:rsidRPr="008D17DA">
        <w:rPr>
          <w:rFonts w:ascii="Garamond" w:hAnsi="Garamond"/>
          <w:b/>
          <w:bCs/>
          <w:sz w:val="22"/>
          <w:szCs w:val="18"/>
          <w:lang w:val="id-ID"/>
        </w:rPr>
        <w:t>Research</w:t>
      </w:r>
      <w:proofErr w:type="spellEnd"/>
      <w:r w:rsidRPr="008D17DA">
        <w:rPr>
          <w:rFonts w:ascii="Garamond" w:hAnsi="Garamond"/>
          <w:b/>
          <w:bCs/>
          <w:sz w:val="22"/>
          <w:szCs w:val="18"/>
          <w:lang w:val="id-ID"/>
        </w:rPr>
        <w:t xml:space="preserve"> </w:t>
      </w:r>
      <w:proofErr w:type="spellStart"/>
      <w:r w:rsidRPr="008D17DA">
        <w:rPr>
          <w:rFonts w:ascii="Garamond" w:hAnsi="Garamond"/>
          <w:b/>
          <w:bCs/>
          <w:sz w:val="22"/>
          <w:szCs w:val="18"/>
          <w:lang w:val="id-ID"/>
        </w:rPr>
        <w:t>Results</w:t>
      </w:r>
      <w:proofErr w:type="spellEnd"/>
    </w:p>
    <w:p w14:paraId="327E487D" w14:textId="6CBD6041" w:rsidR="008D17DA" w:rsidRPr="008D17DA" w:rsidRDefault="008D17DA" w:rsidP="003A6CA3">
      <w:pPr>
        <w:pStyle w:val="Heading1"/>
        <w:numPr>
          <w:ilvl w:val="2"/>
          <w:numId w:val="39"/>
        </w:numPr>
        <w:suppressAutoHyphens/>
        <w:spacing w:line="276" w:lineRule="auto"/>
        <w:ind w:left="567" w:hanging="567"/>
        <w:rPr>
          <w:rFonts w:ascii="Garamond" w:hAnsi="Garamond"/>
          <w:b w:val="0"/>
          <w:bCs/>
          <w:i w:val="0"/>
          <w:color w:val="002060"/>
          <w:sz w:val="22"/>
          <w:szCs w:val="22"/>
        </w:rPr>
      </w:pPr>
      <w:r w:rsidRPr="008D17DA">
        <w:rPr>
          <w:rFonts w:ascii="Garamond" w:hAnsi="Garamond"/>
          <w:b w:val="0"/>
          <w:bCs/>
          <w:i w:val="0"/>
          <w:color w:val="002060"/>
          <w:sz w:val="22"/>
          <w:szCs w:val="22"/>
        </w:rPr>
        <w:t>Description of the Units of Analysis</w:t>
      </w:r>
    </w:p>
    <w:p w14:paraId="09994795" w14:textId="6E597C6B" w:rsidR="003A6CA3" w:rsidRPr="003A6CA3" w:rsidRDefault="008D17DA" w:rsidP="003A6CA3">
      <w:pPr>
        <w:pStyle w:val="isselectedend"/>
        <w:spacing w:before="0" w:beforeAutospacing="0" w:after="0" w:afterAutospacing="0" w:line="276" w:lineRule="auto"/>
        <w:ind w:firstLine="567"/>
        <w:jc w:val="both"/>
        <w:rPr>
          <w:rStyle w:val="Strong"/>
          <w:rFonts w:ascii="Garamond" w:hAnsi="Garamond"/>
          <w:b w:val="0"/>
          <w:bCs w:val="0"/>
          <w:sz w:val="22"/>
          <w:szCs w:val="22"/>
        </w:rPr>
        <w:sectPr w:rsidR="003A6CA3" w:rsidRPr="003A6CA3" w:rsidSect="003A6CA3">
          <w:headerReference w:type="default" r:id="rId20"/>
          <w:footerReference w:type="default" r:id="rId21"/>
          <w:type w:val="continuous"/>
          <w:pgSz w:w="11909" w:h="16834"/>
          <w:pgMar w:top="1134" w:right="1134" w:bottom="1134" w:left="1134" w:header="567" w:footer="720" w:gutter="0"/>
          <w:cols w:num="2" w:space="720"/>
          <w:docGrid w:linePitch="360"/>
        </w:sectPr>
      </w:pPr>
      <w:r w:rsidRPr="008D17DA">
        <w:rPr>
          <w:rFonts w:ascii="Garamond" w:hAnsi="Garamond"/>
          <w:sz w:val="22"/>
          <w:szCs w:val="22"/>
        </w:rPr>
        <w:t xml:space="preserve">The analysis focused on three interconnected areas corresponding to the research questions: the meaning and scope of legal sociology, the concept of social justice from a legal sociology perspective, and the role of legal sociology in advancing social justice. The materials were examined based on their relevance to legal norms, social structures, legal practices, social justice, access to justice, and the relationship between </w:t>
      </w:r>
      <w:r w:rsidRPr="008D17DA">
        <w:rPr>
          <w:rStyle w:val="Emphasis"/>
          <w:rFonts w:ascii="Garamond" w:hAnsi="Garamond"/>
          <w:sz w:val="22"/>
          <w:szCs w:val="22"/>
        </w:rPr>
        <w:t>law in the books</w:t>
      </w:r>
      <w:r w:rsidRPr="008D17DA">
        <w:rPr>
          <w:rFonts w:ascii="Garamond" w:hAnsi="Garamond"/>
          <w:sz w:val="22"/>
          <w:szCs w:val="22"/>
        </w:rPr>
        <w:t xml:space="preserve"> and </w:t>
      </w:r>
      <w:r w:rsidRPr="008D17DA">
        <w:rPr>
          <w:rStyle w:val="Emphasis"/>
          <w:rFonts w:ascii="Garamond" w:hAnsi="Garamond"/>
          <w:sz w:val="22"/>
          <w:szCs w:val="22"/>
        </w:rPr>
        <w:t>law in action</w:t>
      </w:r>
      <w:r w:rsidRPr="008D17DA">
        <w:rPr>
          <w:rFonts w:ascii="Garamond" w:hAnsi="Garamond"/>
          <w:sz w:val="22"/>
          <w:szCs w:val="22"/>
        </w:rPr>
        <w:t>.</w:t>
      </w:r>
    </w:p>
    <w:p w14:paraId="765D9CB0" w14:textId="77777777" w:rsidR="008D17DA" w:rsidRDefault="008D17DA" w:rsidP="003A6CA3">
      <w:pPr>
        <w:pStyle w:val="isselectedend"/>
        <w:spacing w:before="0" w:beforeAutospacing="0" w:after="0" w:afterAutospacing="0" w:line="276" w:lineRule="auto"/>
        <w:jc w:val="center"/>
        <w:rPr>
          <w:rStyle w:val="Strong"/>
          <w:rFonts w:ascii="Garamond" w:hAnsi="Garamond"/>
          <w:sz w:val="22"/>
          <w:szCs w:val="22"/>
        </w:rPr>
      </w:pPr>
    </w:p>
    <w:p w14:paraId="3C4445B6" w14:textId="64C861D2" w:rsidR="008D17DA" w:rsidRPr="008D17DA" w:rsidRDefault="008D17DA" w:rsidP="008D17DA">
      <w:pPr>
        <w:pStyle w:val="isselectedend"/>
        <w:spacing w:before="0" w:beforeAutospacing="0" w:after="0" w:afterAutospacing="0"/>
        <w:jc w:val="center"/>
        <w:rPr>
          <w:rFonts w:ascii="Garamond" w:hAnsi="Garamond"/>
          <w:sz w:val="22"/>
          <w:szCs w:val="22"/>
        </w:rPr>
      </w:pPr>
      <w:r w:rsidRPr="008D17DA">
        <w:rPr>
          <w:rStyle w:val="Strong"/>
          <w:rFonts w:ascii="Garamond" w:hAnsi="Garamond"/>
          <w:sz w:val="22"/>
          <w:szCs w:val="22"/>
        </w:rPr>
        <w:t>Table 1. Analytical Focus and Key Findings</w:t>
      </w:r>
    </w:p>
    <w:tbl>
      <w:tblPr>
        <w:tblStyle w:val="PlainTable2"/>
        <w:tblW w:w="0" w:type="auto"/>
        <w:tblLook w:val="04A0" w:firstRow="1" w:lastRow="0" w:firstColumn="1" w:lastColumn="0" w:noHBand="0" w:noVBand="1"/>
      </w:tblPr>
      <w:tblGrid>
        <w:gridCol w:w="1698"/>
        <w:gridCol w:w="3531"/>
        <w:gridCol w:w="4628"/>
      </w:tblGrid>
      <w:tr w:rsidR="008D17DA" w:rsidRPr="008D17DA" w14:paraId="086B2C93" w14:textId="77777777" w:rsidTr="008D17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331ADB"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Analytical Focus</w:t>
            </w:r>
          </w:p>
        </w:tc>
        <w:tc>
          <w:tcPr>
            <w:tcW w:w="0" w:type="auto"/>
            <w:hideMark/>
          </w:tcPr>
          <w:p w14:paraId="1D99FED4" w14:textId="77777777" w:rsidR="008D17DA" w:rsidRPr="008D17DA" w:rsidRDefault="008D17DA" w:rsidP="008D17DA">
            <w:pPr>
              <w:cnfStyle w:val="100000000000" w:firstRow="1" w:lastRow="0" w:firstColumn="0" w:lastColumn="0" w:oddVBand="0" w:evenVBand="0" w:oddHBand="0" w:evenHBand="0" w:firstRowFirstColumn="0" w:firstRowLastColumn="0" w:lastRowFirstColumn="0" w:lastRowLastColumn="0"/>
              <w:rPr>
                <w:rFonts w:ascii="Garamond" w:hAnsi="Garamond"/>
                <w:b w:val="0"/>
                <w:bCs w:val="0"/>
                <w:sz w:val="22"/>
                <w:szCs w:val="22"/>
              </w:rPr>
            </w:pPr>
            <w:r w:rsidRPr="008D17DA">
              <w:rPr>
                <w:rFonts w:ascii="Garamond" w:hAnsi="Garamond"/>
                <w:b w:val="0"/>
                <w:bCs w:val="0"/>
                <w:sz w:val="22"/>
                <w:szCs w:val="22"/>
              </w:rPr>
              <w:t>Principal Elements Examined</w:t>
            </w:r>
          </w:p>
        </w:tc>
        <w:tc>
          <w:tcPr>
            <w:tcW w:w="0" w:type="auto"/>
            <w:hideMark/>
          </w:tcPr>
          <w:p w14:paraId="37D1D87E" w14:textId="77777777" w:rsidR="008D17DA" w:rsidRPr="008D17DA" w:rsidRDefault="008D17DA" w:rsidP="008D17DA">
            <w:pPr>
              <w:cnfStyle w:val="100000000000" w:firstRow="1" w:lastRow="0" w:firstColumn="0" w:lastColumn="0" w:oddVBand="0" w:evenVBand="0" w:oddHBand="0" w:evenHBand="0" w:firstRowFirstColumn="0" w:firstRowLastColumn="0" w:lastRowFirstColumn="0" w:lastRowLastColumn="0"/>
              <w:rPr>
                <w:rFonts w:ascii="Garamond" w:hAnsi="Garamond"/>
                <w:b w:val="0"/>
                <w:bCs w:val="0"/>
                <w:sz w:val="22"/>
                <w:szCs w:val="22"/>
              </w:rPr>
            </w:pPr>
            <w:r w:rsidRPr="008D17DA">
              <w:rPr>
                <w:rFonts w:ascii="Garamond" w:hAnsi="Garamond"/>
                <w:b w:val="0"/>
                <w:bCs w:val="0"/>
                <w:sz w:val="22"/>
                <w:szCs w:val="22"/>
              </w:rPr>
              <w:t>Key Finding</w:t>
            </w:r>
          </w:p>
        </w:tc>
      </w:tr>
      <w:tr w:rsidR="008D17DA" w:rsidRPr="008D17DA" w14:paraId="2CAE8831" w14:textId="77777777" w:rsidTr="008D1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99ABDE"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Legal sociology</w:t>
            </w:r>
          </w:p>
        </w:tc>
        <w:tc>
          <w:tcPr>
            <w:tcW w:w="0" w:type="auto"/>
            <w:hideMark/>
          </w:tcPr>
          <w:p w14:paraId="2C631A6C"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Law, society, social structure, legal behavior, social change</w:t>
            </w:r>
          </w:p>
        </w:tc>
        <w:tc>
          <w:tcPr>
            <w:tcW w:w="0" w:type="auto"/>
            <w:hideMark/>
          </w:tcPr>
          <w:p w14:paraId="70F9729B"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Legal sociology examines the reciprocal relationship between law and society and understands law as a social phenomenon</w:t>
            </w:r>
          </w:p>
        </w:tc>
      </w:tr>
      <w:tr w:rsidR="008D17DA" w:rsidRPr="008D17DA" w14:paraId="32C7A15F" w14:textId="77777777" w:rsidTr="008D17DA">
        <w:tc>
          <w:tcPr>
            <w:cnfStyle w:val="001000000000" w:firstRow="0" w:lastRow="0" w:firstColumn="1" w:lastColumn="0" w:oddVBand="0" w:evenVBand="0" w:oddHBand="0" w:evenHBand="0" w:firstRowFirstColumn="0" w:firstRowLastColumn="0" w:lastRowFirstColumn="0" w:lastRowLastColumn="0"/>
            <w:tcW w:w="0" w:type="auto"/>
            <w:hideMark/>
          </w:tcPr>
          <w:p w14:paraId="3EAB7839"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Social justice</w:t>
            </w:r>
          </w:p>
        </w:tc>
        <w:tc>
          <w:tcPr>
            <w:tcW w:w="0" w:type="auto"/>
            <w:hideMark/>
          </w:tcPr>
          <w:p w14:paraId="532FF3EE" w14:textId="77777777" w:rsidR="008D17DA" w:rsidRPr="008D17DA" w:rsidRDefault="008D17DA" w:rsidP="008D17DA">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8D17DA">
              <w:rPr>
                <w:rFonts w:ascii="Garamond" w:hAnsi="Garamond"/>
                <w:sz w:val="22"/>
                <w:szCs w:val="22"/>
              </w:rPr>
              <w:t>Equality, rights, social and economic conditions, substantive justice</w:t>
            </w:r>
          </w:p>
        </w:tc>
        <w:tc>
          <w:tcPr>
            <w:tcW w:w="0" w:type="auto"/>
            <w:hideMark/>
          </w:tcPr>
          <w:p w14:paraId="71ADC767" w14:textId="77777777" w:rsidR="008D17DA" w:rsidRPr="008D17DA" w:rsidRDefault="008D17DA" w:rsidP="008D17DA">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8D17DA">
              <w:rPr>
                <w:rFonts w:ascii="Garamond" w:hAnsi="Garamond"/>
                <w:sz w:val="22"/>
                <w:szCs w:val="22"/>
              </w:rPr>
              <w:t>Social justice requires more than formal equality and must consider social and economic inequalities</w:t>
            </w:r>
          </w:p>
        </w:tc>
      </w:tr>
      <w:tr w:rsidR="008D17DA" w:rsidRPr="008D17DA" w14:paraId="49B6C08F" w14:textId="77777777" w:rsidTr="008D1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86832B"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lastRenderedPageBreak/>
              <w:t>Law in action</w:t>
            </w:r>
          </w:p>
        </w:tc>
        <w:tc>
          <w:tcPr>
            <w:tcW w:w="0" w:type="auto"/>
            <w:hideMark/>
          </w:tcPr>
          <w:p w14:paraId="5662D14D"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Legal implementation, legal awareness, institutional practices, social conditions</w:t>
            </w:r>
          </w:p>
        </w:tc>
        <w:tc>
          <w:tcPr>
            <w:tcW w:w="0" w:type="auto"/>
            <w:hideMark/>
          </w:tcPr>
          <w:p w14:paraId="28045828"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The effectiveness of law depends on how legal norms operate in actual social conditions</w:t>
            </w:r>
          </w:p>
        </w:tc>
      </w:tr>
      <w:tr w:rsidR="008D17DA" w:rsidRPr="008D17DA" w14:paraId="09393968" w14:textId="77777777" w:rsidTr="008D17DA">
        <w:tc>
          <w:tcPr>
            <w:cnfStyle w:val="001000000000" w:firstRow="0" w:lastRow="0" w:firstColumn="1" w:lastColumn="0" w:oddVBand="0" w:evenVBand="0" w:oddHBand="0" w:evenHBand="0" w:firstRowFirstColumn="0" w:firstRowLastColumn="0" w:lastRowFirstColumn="0" w:lastRowLastColumn="0"/>
            <w:tcW w:w="0" w:type="auto"/>
            <w:hideMark/>
          </w:tcPr>
          <w:p w14:paraId="0306197A"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Vulnerable groups</w:t>
            </w:r>
          </w:p>
        </w:tc>
        <w:tc>
          <w:tcPr>
            <w:tcW w:w="0" w:type="auto"/>
            <w:hideMark/>
          </w:tcPr>
          <w:p w14:paraId="1C0C0389" w14:textId="77777777" w:rsidR="008D17DA" w:rsidRPr="008D17DA" w:rsidRDefault="008D17DA" w:rsidP="008D17DA">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8D17DA">
              <w:rPr>
                <w:rFonts w:ascii="Garamond" w:hAnsi="Garamond"/>
                <w:sz w:val="22"/>
                <w:szCs w:val="22"/>
              </w:rPr>
              <w:t>Poor communities, women, children, persons with disabilities</w:t>
            </w:r>
          </w:p>
        </w:tc>
        <w:tc>
          <w:tcPr>
            <w:tcW w:w="0" w:type="auto"/>
            <w:hideMark/>
          </w:tcPr>
          <w:p w14:paraId="13F06AAD" w14:textId="77777777" w:rsidR="008D17DA" w:rsidRPr="008D17DA" w:rsidRDefault="008D17DA" w:rsidP="008D17DA">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8D17DA">
              <w:rPr>
                <w:rFonts w:ascii="Garamond" w:hAnsi="Garamond"/>
                <w:sz w:val="22"/>
                <w:szCs w:val="22"/>
              </w:rPr>
              <w:t>Legal systems must provide meaningful and equal access to justice for disadvantaged groups</w:t>
            </w:r>
          </w:p>
        </w:tc>
      </w:tr>
      <w:tr w:rsidR="008D17DA" w:rsidRPr="008D17DA" w14:paraId="5A2EB6FB" w14:textId="77777777" w:rsidTr="008D1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5BF3FD"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Access to justice</w:t>
            </w:r>
          </w:p>
        </w:tc>
        <w:tc>
          <w:tcPr>
            <w:tcW w:w="0" w:type="auto"/>
            <w:hideMark/>
          </w:tcPr>
          <w:p w14:paraId="29AC2D5E"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Legal institutions, affordability, accessibility, nondiscrimination</w:t>
            </w:r>
          </w:p>
        </w:tc>
        <w:tc>
          <w:tcPr>
            <w:tcW w:w="0" w:type="auto"/>
            <w:hideMark/>
          </w:tcPr>
          <w:p w14:paraId="4D553DBF"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Equal access to legal protection is an essential dimension of substantive social justice</w:t>
            </w:r>
          </w:p>
        </w:tc>
      </w:tr>
      <w:tr w:rsidR="008D17DA" w:rsidRPr="008D17DA" w14:paraId="03F51F44" w14:textId="77777777" w:rsidTr="008D17DA">
        <w:tc>
          <w:tcPr>
            <w:cnfStyle w:val="001000000000" w:firstRow="0" w:lastRow="0" w:firstColumn="1" w:lastColumn="0" w:oddVBand="0" w:evenVBand="0" w:oddHBand="0" w:evenHBand="0" w:firstRowFirstColumn="0" w:firstRowLastColumn="0" w:lastRowFirstColumn="0" w:lastRowLastColumn="0"/>
            <w:tcW w:w="0" w:type="auto"/>
            <w:hideMark/>
          </w:tcPr>
          <w:p w14:paraId="4D2E98EB"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Social values and state law</w:t>
            </w:r>
          </w:p>
        </w:tc>
        <w:tc>
          <w:tcPr>
            <w:tcW w:w="0" w:type="auto"/>
            <w:hideMark/>
          </w:tcPr>
          <w:p w14:paraId="0FAD5221" w14:textId="77777777" w:rsidR="008D17DA" w:rsidRPr="008D17DA" w:rsidRDefault="008D17DA" w:rsidP="008D17DA">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8D17DA">
              <w:rPr>
                <w:rFonts w:ascii="Garamond" w:hAnsi="Garamond"/>
                <w:sz w:val="22"/>
                <w:szCs w:val="22"/>
              </w:rPr>
              <w:t>Social norms, culture, formal legal rules</w:t>
            </w:r>
          </w:p>
        </w:tc>
        <w:tc>
          <w:tcPr>
            <w:tcW w:w="0" w:type="auto"/>
            <w:hideMark/>
          </w:tcPr>
          <w:p w14:paraId="07347EE7" w14:textId="77777777" w:rsidR="008D17DA" w:rsidRPr="008D17DA" w:rsidRDefault="008D17DA" w:rsidP="008D17DA">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8D17DA">
              <w:rPr>
                <w:rFonts w:ascii="Garamond" w:hAnsi="Garamond"/>
                <w:sz w:val="22"/>
                <w:szCs w:val="22"/>
              </w:rPr>
              <w:t>Law should respond to values and conditions existing within society</w:t>
            </w:r>
          </w:p>
        </w:tc>
      </w:tr>
      <w:tr w:rsidR="008D17DA" w:rsidRPr="008D17DA" w14:paraId="46F420A4" w14:textId="77777777" w:rsidTr="008D1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BD21C8"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Legal effectiveness</w:t>
            </w:r>
          </w:p>
        </w:tc>
        <w:tc>
          <w:tcPr>
            <w:tcW w:w="0" w:type="auto"/>
            <w:hideMark/>
          </w:tcPr>
          <w:p w14:paraId="0BC5EAB3"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Legal compliance, social acceptance, implementation</w:t>
            </w:r>
          </w:p>
        </w:tc>
        <w:tc>
          <w:tcPr>
            <w:tcW w:w="0" w:type="auto"/>
            <w:hideMark/>
          </w:tcPr>
          <w:p w14:paraId="42C97E03"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Effective law requires social responsiveness rather than formal validity alone</w:t>
            </w:r>
          </w:p>
        </w:tc>
      </w:tr>
    </w:tbl>
    <w:p w14:paraId="5B5209EC" w14:textId="77777777" w:rsidR="003A6CA3" w:rsidRDefault="003A6CA3" w:rsidP="003A6CA3">
      <w:pPr>
        <w:pStyle w:val="isselectedend"/>
        <w:spacing w:before="0" w:beforeAutospacing="0" w:after="0" w:afterAutospacing="0"/>
        <w:jc w:val="center"/>
        <w:rPr>
          <w:rFonts w:ascii="Garamond" w:hAnsi="Garamond"/>
          <w:sz w:val="22"/>
          <w:szCs w:val="22"/>
        </w:rPr>
      </w:pPr>
      <w:r>
        <w:rPr>
          <w:rFonts w:ascii="Garamond" w:hAnsi="Garamond"/>
          <w:sz w:val="22"/>
          <w:szCs w:val="22"/>
        </w:rPr>
        <w:t>Source: Authors</w:t>
      </w:r>
    </w:p>
    <w:p w14:paraId="12C80E99" w14:textId="77777777" w:rsidR="008D17DA" w:rsidRDefault="008D17DA" w:rsidP="003A6CA3">
      <w:pPr>
        <w:pStyle w:val="isselectedend"/>
        <w:spacing w:before="0" w:beforeAutospacing="0" w:after="0" w:afterAutospacing="0"/>
        <w:jc w:val="both"/>
        <w:rPr>
          <w:rFonts w:ascii="Garamond" w:hAnsi="Garamond"/>
          <w:sz w:val="22"/>
          <w:szCs w:val="22"/>
        </w:rPr>
      </w:pPr>
    </w:p>
    <w:p w14:paraId="668886BC" w14:textId="77777777" w:rsidR="003A6CA3" w:rsidRDefault="003A6CA3" w:rsidP="003A6CA3">
      <w:pPr>
        <w:pStyle w:val="isselectedend"/>
        <w:spacing w:before="0" w:beforeAutospacing="0" w:after="0" w:afterAutospacing="0" w:line="276" w:lineRule="auto"/>
        <w:ind w:firstLine="567"/>
        <w:jc w:val="both"/>
        <w:rPr>
          <w:rFonts w:ascii="Garamond" w:hAnsi="Garamond"/>
          <w:sz w:val="22"/>
          <w:szCs w:val="22"/>
        </w:rPr>
        <w:sectPr w:rsidR="003A6CA3" w:rsidSect="008D17DA">
          <w:type w:val="continuous"/>
          <w:pgSz w:w="11909" w:h="16834"/>
          <w:pgMar w:top="1134" w:right="1134" w:bottom="1134" w:left="1134" w:header="567" w:footer="720" w:gutter="0"/>
          <w:cols w:space="720"/>
          <w:docGrid w:linePitch="360"/>
        </w:sectPr>
      </w:pPr>
    </w:p>
    <w:p w14:paraId="1E950E78" w14:textId="0835CB61" w:rsidR="008D17DA" w:rsidRPr="008D17DA" w:rsidRDefault="008D17DA" w:rsidP="003A6CA3">
      <w:pPr>
        <w:pStyle w:val="isselectedend"/>
        <w:spacing w:before="0" w:beforeAutospacing="0" w:after="0" w:afterAutospacing="0" w:line="276" w:lineRule="auto"/>
        <w:ind w:firstLine="567"/>
        <w:jc w:val="both"/>
        <w:rPr>
          <w:rFonts w:ascii="Garamond" w:hAnsi="Garamond"/>
          <w:sz w:val="22"/>
          <w:szCs w:val="22"/>
        </w:rPr>
      </w:pPr>
      <w:r w:rsidRPr="008D17DA">
        <w:rPr>
          <w:rFonts w:ascii="Garamond" w:hAnsi="Garamond"/>
          <w:sz w:val="22"/>
          <w:szCs w:val="22"/>
        </w:rPr>
        <w:t xml:space="preserve">As presented in Table 1, the analysis identified a consistent relationship between legal norms and social realities. The findings demonstrate that legal sociology cannot be separated from the social structures, values, cultural conditions, economic circumstances, and </w:t>
      </w:r>
      <w:proofErr w:type="spellStart"/>
      <w:r w:rsidRPr="008D17DA">
        <w:rPr>
          <w:rFonts w:ascii="Garamond" w:hAnsi="Garamond"/>
          <w:sz w:val="22"/>
          <w:szCs w:val="22"/>
        </w:rPr>
        <w:t>behavioral</w:t>
      </w:r>
      <w:proofErr w:type="spellEnd"/>
      <w:r w:rsidRPr="008D17DA">
        <w:rPr>
          <w:rFonts w:ascii="Garamond" w:hAnsi="Garamond"/>
          <w:sz w:val="22"/>
          <w:szCs w:val="22"/>
        </w:rPr>
        <w:t xml:space="preserve"> patterns within which law operates.</w:t>
      </w:r>
    </w:p>
    <w:p w14:paraId="4DA57975" w14:textId="77777777" w:rsidR="008D17DA" w:rsidRPr="008D17DA" w:rsidRDefault="008D17DA" w:rsidP="003A6CA3">
      <w:pPr>
        <w:pStyle w:val="Heading4"/>
        <w:numPr>
          <w:ilvl w:val="0"/>
          <w:numId w:val="0"/>
        </w:numPr>
        <w:spacing w:before="0" w:line="276" w:lineRule="auto"/>
        <w:ind w:left="567"/>
        <w:jc w:val="both"/>
        <w:rPr>
          <w:rFonts w:ascii="Garamond" w:hAnsi="Garamond"/>
          <w:i w:val="0"/>
          <w:iCs w:val="0"/>
          <w:color w:val="002060"/>
          <w:sz w:val="22"/>
          <w:szCs w:val="22"/>
        </w:rPr>
      </w:pPr>
    </w:p>
    <w:p w14:paraId="5758D1BB" w14:textId="23A65983" w:rsidR="008D17DA" w:rsidRPr="008D17DA" w:rsidRDefault="008D17DA" w:rsidP="003A6CA3">
      <w:pPr>
        <w:pStyle w:val="Heading4"/>
        <w:numPr>
          <w:ilvl w:val="2"/>
          <w:numId w:val="39"/>
        </w:numPr>
        <w:spacing w:before="0" w:line="276" w:lineRule="auto"/>
        <w:ind w:left="567" w:hanging="578"/>
        <w:jc w:val="both"/>
        <w:rPr>
          <w:rFonts w:ascii="Garamond" w:hAnsi="Garamond"/>
          <w:i w:val="0"/>
          <w:iCs w:val="0"/>
          <w:color w:val="002060"/>
          <w:sz w:val="22"/>
          <w:szCs w:val="22"/>
        </w:rPr>
      </w:pPr>
      <w:r w:rsidRPr="008D17DA">
        <w:rPr>
          <w:rFonts w:ascii="Garamond" w:hAnsi="Garamond"/>
          <w:i w:val="0"/>
          <w:iCs w:val="0"/>
          <w:color w:val="002060"/>
          <w:sz w:val="22"/>
          <w:szCs w:val="22"/>
        </w:rPr>
        <w:t>Data Quality and Preliminary Analysis</w:t>
      </w:r>
    </w:p>
    <w:p w14:paraId="0572DF5C" w14:textId="77777777" w:rsidR="008D17DA" w:rsidRPr="008D17DA" w:rsidRDefault="008D17DA" w:rsidP="003A6CA3">
      <w:pPr>
        <w:pStyle w:val="isselectedend"/>
        <w:spacing w:before="0" w:beforeAutospacing="0" w:after="0" w:afterAutospacing="0" w:line="276" w:lineRule="auto"/>
        <w:ind w:firstLine="567"/>
        <w:jc w:val="both"/>
        <w:rPr>
          <w:rFonts w:ascii="Garamond" w:hAnsi="Garamond"/>
          <w:sz w:val="22"/>
          <w:szCs w:val="22"/>
        </w:rPr>
      </w:pPr>
      <w:r w:rsidRPr="008D17DA">
        <w:rPr>
          <w:rFonts w:ascii="Garamond" w:hAnsi="Garamond"/>
          <w:sz w:val="22"/>
          <w:szCs w:val="22"/>
        </w:rPr>
        <w:t>Because the research used documentary and literature-based analysis, preliminary analysis consisted of identifying, classifying, and evaluating the relevance of legal and scholarly materials. The materials were organized according to the three principal research questions and the analytical concepts established in the conceptual framework.</w:t>
      </w:r>
    </w:p>
    <w:p w14:paraId="22EF7988" w14:textId="77777777" w:rsidR="008D17DA" w:rsidRPr="008D17DA" w:rsidRDefault="008D17DA" w:rsidP="003A6CA3">
      <w:pPr>
        <w:pStyle w:val="isselectedend"/>
        <w:spacing w:before="0" w:beforeAutospacing="0" w:after="0" w:afterAutospacing="0" w:line="276" w:lineRule="auto"/>
        <w:ind w:firstLine="567"/>
        <w:jc w:val="both"/>
        <w:rPr>
          <w:rFonts w:ascii="Garamond" w:hAnsi="Garamond"/>
          <w:sz w:val="22"/>
          <w:szCs w:val="22"/>
        </w:rPr>
      </w:pPr>
      <w:r w:rsidRPr="008D17DA">
        <w:rPr>
          <w:rFonts w:ascii="Garamond" w:hAnsi="Garamond"/>
          <w:sz w:val="22"/>
          <w:szCs w:val="22"/>
        </w:rPr>
        <w:t xml:space="preserve">The analysis distinguished between normative legal provisions and their social implementation. Particular attention was given to the distinction between </w:t>
      </w:r>
      <w:r w:rsidRPr="008D17DA">
        <w:rPr>
          <w:rStyle w:val="Emphasis"/>
          <w:rFonts w:ascii="Garamond" w:hAnsi="Garamond"/>
          <w:sz w:val="22"/>
          <w:szCs w:val="22"/>
        </w:rPr>
        <w:t>law in the books</w:t>
      </w:r>
      <w:r w:rsidRPr="008D17DA">
        <w:rPr>
          <w:rFonts w:ascii="Garamond" w:hAnsi="Garamond"/>
          <w:sz w:val="22"/>
          <w:szCs w:val="22"/>
        </w:rPr>
        <w:t xml:space="preserve"> and </w:t>
      </w:r>
      <w:r w:rsidRPr="008D17DA">
        <w:rPr>
          <w:rStyle w:val="Emphasis"/>
          <w:rFonts w:ascii="Garamond" w:hAnsi="Garamond"/>
          <w:sz w:val="22"/>
          <w:szCs w:val="22"/>
        </w:rPr>
        <w:t>law in action</w:t>
      </w:r>
      <w:r w:rsidRPr="008D17DA">
        <w:rPr>
          <w:rFonts w:ascii="Garamond" w:hAnsi="Garamond"/>
          <w:sz w:val="22"/>
          <w:szCs w:val="22"/>
        </w:rPr>
        <w:t>, because this distinction provides an analytical basis for examining whether formal legal guarantees are reflected in actual access to justice.</w:t>
      </w:r>
    </w:p>
    <w:p w14:paraId="2BCDACFA" w14:textId="56D6EA8F" w:rsidR="008D17DA" w:rsidRPr="003A6CA3" w:rsidRDefault="008D17DA" w:rsidP="003A6CA3">
      <w:pPr>
        <w:pStyle w:val="isselectedend"/>
        <w:spacing w:before="0" w:beforeAutospacing="0" w:after="0" w:afterAutospacing="0" w:line="276" w:lineRule="auto"/>
        <w:ind w:firstLine="567"/>
        <w:jc w:val="both"/>
        <w:rPr>
          <w:rFonts w:ascii="Garamond" w:hAnsi="Garamond"/>
          <w:sz w:val="22"/>
          <w:szCs w:val="22"/>
        </w:rPr>
      </w:pPr>
      <w:r w:rsidRPr="008D17DA">
        <w:rPr>
          <w:rFonts w:ascii="Garamond" w:hAnsi="Garamond"/>
          <w:sz w:val="22"/>
          <w:szCs w:val="22"/>
        </w:rPr>
        <w:t>No statistical data-quality testing was conducted because the study did not employ numerical datasets, survey instruments, or quantitative measurements. Similarly, reliability coefficients and statistical model-fit tests were not applicable to the research design.</w:t>
      </w:r>
    </w:p>
    <w:p w14:paraId="62859DC0" w14:textId="2A77C7C3" w:rsidR="008D17DA" w:rsidRPr="008D17DA" w:rsidRDefault="008D17DA" w:rsidP="003A6CA3">
      <w:pPr>
        <w:pStyle w:val="Heading4"/>
        <w:numPr>
          <w:ilvl w:val="2"/>
          <w:numId w:val="39"/>
        </w:numPr>
        <w:spacing w:before="0" w:line="276" w:lineRule="auto"/>
        <w:ind w:left="567" w:hanging="578"/>
        <w:jc w:val="both"/>
        <w:rPr>
          <w:rFonts w:ascii="Garamond" w:hAnsi="Garamond"/>
          <w:i w:val="0"/>
          <w:iCs w:val="0"/>
          <w:color w:val="002060"/>
          <w:sz w:val="22"/>
          <w:szCs w:val="22"/>
        </w:rPr>
      </w:pPr>
      <w:r w:rsidRPr="008D17DA">
        <w:rPr>
          <w:rFonts w:ascii="Garamond" w:hAnsi="Garamond"/>
          <w:i w:val="0"/>
          <w:iCs w:val="0"/>
          <w:color w:val="002060"/>
          <w:sz w:val="22"/>
          <w:szCs w:val="22"/>
        </w:rPr>
        <w:t>Main Analytical Results</w:t>
      </w:r>
    </w:p>
    <w:p w14:paraId="09BB9895" w14:textId="1BF9414C" w:rsidR="008D17DA" w:rsidRDefault="008D17DA" w:rsidP="003A6CA3">
      <w:pPr>
        <w:pStyle w:val="isselectedend"/>
        <w:spacing w:before="0" w:beforeAutospacing="0" w:after="0" w:afterAutospacing="0" w:line="276" w:lineRule="auto"/>
        <w:ind w:firstLine="567"/>
        <w:jc w:val="both"/>
        <w:rPr>
          <w:rFonts w:ascii="Garamond" w:hAnsi="Garamond"/>
          <w:sz w:val="22"/>
          <w:szCs w:val="22"/>
        </w:rPr>
      </w:pPr>
      <w:r w:rsidRPr="008D17DA">
        <w:rPr>
          <w:rFonts w:ascii="Garamond" w:hAnsi="Garamond"/>
          <w:sz w:val="22"/>
          <w:szCs w:val="22"/>
        </w:rPr>
        <w:t xml:space="preserve">The main analysis produced three principal findings. </w:t>
      </w:r>
      <w:r w:rsidRPr="008D17DA">
        <w:rPr>
          <w:rStyle w:val="Strong"/>
          <w:rFonts w:ascii="Garamond" w:hAnsi="Garamond"/>
          <w:b w:val="0"/>
          <w:bCs w:val="0"/>
          <w:sz w:val="22"/>
          <w:szCs w:val="22"/>
        </w:rPr>
        <w:t>First, legal sociology is a discipline that examines the reciprocal relationship between law and society.</w:t>
      </w:r>
      <w:r w:rsidRPr="008D17DA">
        <w:rPr>
          <w:rFonts w:ascii="Garamond" w:hAnsi="Garamond"/>
          <w:sz w:val="22"/>
          <w:szCs w:val="22"/>
        </w:rPr>
        <w:t xml:space="preserve"> Law is not limited to written rules but also operates as a social institution influenced by social structures, cultural values, economic conditions, and patterns of </w:t>
      </w:r>
      <w:proofErr w:type="spellStart"/>
      <w:r w:rsidRPr="008D17DA">
        <w:rPr>
          <w:rFonts w:ascii="Garamond" w:hAnsi="Garamond"/>
          <w:sz w:val="22"/>
          <w:szCs w:val="22"/>
        </w:rPr>
        <w:t>behavior</w:t>
      </w:r>
      <w:proofErr w:type="spellEnd"/>
      <w:r w:rsidRPr="008D17DA">
        <w:rPr>
          <w:rFonts w:ascii="Garamond" w:hAnsi="Garamond"/>
          <w:sz w:val="22"/>
          <w:szCs w:val="22"/>
        </w:rPr>
        <w:t xml:space="preserve">. </w:t>
      </w:r>
      <w:proofErr w:type="spellStart"/>
      <w:r w:rsidRPr="008D17DA">
        <w:rPr>
          <w:rFonts w:ascii="Garamond" w:hAnsi="Garamond"/>
          <w:sz w:val="22"/>
          <w:szCs w:val="22"/>
        </w:rPr>
        <w:t>Soerjono</w:t>
      </w:r>
      <w:proofErr w:type="spellEnd"/>
      <w:r w:rsidRPr="008D17DA">
        <w:rPr>
          <w:rFonts w:ascii="Garamond" w:hAnsi="Garamond"/>
          <w:sz w:val="22"/>
          <w:szCs w:val="22"/>
        </w:rPr>
        <w:t xml:space="preserve"> </w:t>
      </w:r>
      <w:proofErr w:type="spellStart"/>
      <w:r w:rsidRPr="008D17DA">
        <w:rPr>
          <w:rFonts w:ascii="Garamond" w:hAnsi="Garamond"/>
          <w:sz w:val="22"/>
          <w:szCs w:val="22"/>
        </w:rPr>
        <w:t>Soekanto</w:t>
      </w:r>
      <w:proofErr w:type="spellEnd"/>
      <w:r w:rsidRPr="008D17DA">
        <w:rPr>
          <w:rFonts w:ascii="Garamond" w:hAnsi="Garamond"/>
          <w:sz w:val="22"/>
          <w:szCs w:val="22"/>
        </w:rPr>
        <w:t xml:space="preserve"> describes legal sociology as a branch of knowledge that analytically and empirically </w:t>
      </w:r>
      <w:r w:rsidRPr="008D17DA">
        <w:rPr>
          <w:rFonts w:ascii="Garamond" w:hAnsi="Garamond"/>
          <w:sz w:val="22"/>
          <w:szCs w:val="22"/>
        </w:rPr>
        <w:t xml:space="preserve">examines social phenomena and the reciprocal relationship between law and society. R. </w:t>
      </w:r>
      <w:proofErr w:type="spellStart"/>
      <w:r w:rsidRPr="008D17DA">
        <w:rPr>
          <w:rFonts w:ascii="Garamond" w:hAnsi="Garamond"/>
          <w:sz w:val="22"/>
          <w:szCs w:val="22"/>
        </w:rPr>
        <w:t>Otje</w:t>
      </w:r>
      <w:proofErr w:type="spellEnd"/>
      <w:r w:rsidRPr="008D17DA">
        <w:rPr>
          <w:rFonts w:ascii="Garamond" w:hAnsi="Garamond"/>
          <w:sz w:val="22"/>
          <w:szCs w:val="22"/>
        </w:rPr>
        <w:t xml:space="preserve"> Salman similarly emphasizes the relationship between law and society through social conflict and an empirical perspective, while </w:t>
      </w:r>
      <w:proofErr w:type="spellStart"/>
      <w:r w:rsidRPr="008D17DA">
        <w:rPr>
          <w:rFonts w:ascii="Garamond" w:hAnsi="Garamond"/>
          <w:sz w:val="22"/>
          <w:szCs w:val="22"/>
        </w:rPr>
        <w:t>Satjipto</w:t>
      </w:r>
      <w:proofErr w:type="spellEnd"/>
      <w:r w:rsidRPr="008D17DA">
        <w:rPr>
          <w:rFonts w:ascii="Garamond" w:hAnsi="Garamond"/>
          <w:sz w:val="22"/>
          <w:szCs w:val="22"/>
        </w:rPr>
        <w:t xml:space="preserve"> Rahardjo places emphasis on patterns of </w:t>
      </w:r>
      <w:proofErr w:type="spellStart"/>
      <w:r w:rsidRPr="008D17DA">
        <w:rPr>
          <w:rFonts w:ascii="Garamond" w:hAnsi="Garamond"/>
          <w:sz w:val="22"/>
          <w:szCs w:val="22"/>
        </w:rPr>
        <w:t>behavior</w:t>
      </w:r>
      <w:proofErr w:type="spellEnd"/>
      <w:r w:rsidRPr="008D17DA">
        <w:rPr>
          <w:rFonts w:ascii="Garamond" w:hAnsi="Garamond"/>
          <w:sz w:val="22"/>
          <w:szCs w:val="22"/>
        </w:rPr>
        <w:t xml:space="preserve"> occurring within their social context. </w:t>
      </w:r>
      <w:r w:rsidRPr="008D17DA">
        <w:rPr>
          <w:rStyle w:val="Strong"/>
          <w:rFonts w:ascii="Garamond" w:hAnsi="Garamond"/>
          <w:b w:val="0"/>
          <w:bCs w:val="0"/>
          <w:sz w:val="22"/>
          <w:szCs w:val="22"/>
        </w:rPr>
        <w:t>Second, social justice requires substantive rather than merely formal equality.</w:t>
      </w:r>
      <w:r w:rsidRPr="008D17DA">
        <w:rPr>
          <w:rFonts w:ascii="Garamond" w:hAnsi="Garamond"/>
          <w:sz w:val="22"/>
          <w:szCs w:val="22"/>
        </w:rPr>
        <w:t xml:space="preserve"> The analysis found that equal treatment before the law does not necessarily produce equal outcomes when members of society experience different social and economic conditions. Social justice therefore requires consideration of inequality, access to resources, social position, education, economic capacity, and other circumstances that influence an individual's ability to obtain legal protection. </w:t>
      </w:r>
      <w:r w:rsidRPr="008D17DA">
        <w:rPr>
          <w:rStyle w:val="Strong"/>
          <w:rFonts w:ascii="Garamond" w:hAnsi="Garamond"/>
          <w:b w:val="0"/>
          <w:bCs w:val="0"/>
          <w:sz w:val="22"/>
          <w:szCs w:val="22"/>
        </w:rPr>
        <w:t>Third, legal sociology has a strategic role in advancing social justice.</w:t>
      </w:r>
      <w:r w:rsidRPr="008D17DA">
        <w:rPr>
          <w:rFonts w:ascii="Garamond" w:hAnsi="Garamond"/>
          <w:sz w:val="22"/>
          <w:szCs w:val="22"/>
        </w:rPr>
        <w:t xml:space="preserve"> Five principal roles were identified: understanding social conditions, protecting vulnerable groups, improving access to justice, evaluating the effectiveness of law, and bridging formal state law with social values. These functions demonstrate that legal sociology provides an analytical bridge between normative legal rules and the realities experienced by society.</w:t>
      </w:r>
    </w:p>
    <w:p w14:paraId="61AD6B69" w14:textId="77777777" w:rsidR="003A6CA3" w:rsidRPr="008D17DA" w:rsidRDefault="003A6CA3" w:rsidP="003A6CA3">
      <w:pPr>
        <w:pStyle w:val="isselectedend"/>
        <w:spacing w:before="0" w:beforeAutospacing="0" w:after="0" w:afterAutospacing="0" w:line="276" w:lineRule="auto"/>
        <w:ind w:firstLine="567"/>
        <w:jc w:val="both"/>
        <w:rPr>
          <w:rFonts w:ascii="Garamond" w:hAnsi="Garamond"/>
          <w:sz w:val="22"/>
          <w:szCs w:val="22"/>
        </w:rPr>
      </w:pPr>
    </w:p>
    <w:p w14:paraId="7CD93ACE" w14:textId="385EC595" w:rsidR="008D17DA" w:rsidRPr="008D17DA" w:rsidRDefault="008D17DA" w:rsidP="003A6CA3">
      <w:pPr>
        <w:pStyle w:val="Heading4"/>
        <w:numPr>
          <w:ilvl w:val="2"/>
          <w:numId w:val="39"/>
        </w:numPr>
        <w:spacing w:before="0" w:line="276" w:lineRule="auto"/>
        <w:ind w:left="567" w:hanging="578"/>
        <w:jc w:val="both"/>
        <w:rPr>
          <w:rFonts w:ascii="Garamond" w:hAnsi="Garamond"/>
          <w:i w:val="0"/>
          <w:iCs w:val="0"/>
          <w:color w:val="002060"/>
          <w:sz w:val="22"/>
          <w:szCs w:val="22"/>
        </w:rPr>
      </w:pPr>
      <w:r w:rsidRPr="008D17DA">
        <w:rPr>
          <w:rFonts w:ascii="Garamond" w:hAnsi="Garamond"/>
          <w:i w:val="0"/>
          <w:iCs w:val="0"/>
          <w:color w:val="002060"/>
          <w:sz w:val="22"/>
          <w:szCs w:val="22"/>
        </w:rPr>
        <w:t>Research Questions and Key Findings</w:t>
      </w:r>
    </w:p>
    <w:p w14:paraId="55E3F7D9" w14:textId="77777777" w:rsidR="008D17DA" w:rsidRDefault="008D17DA" w:rsidP="003A6CA3">
      <w:pPr>
        <w:pStyle w:val="isselectedend"/>
        <w:spacing w:before="0" w:beforeAutospacing="0" w:after="0" w:afterAutospacing="0" w:line="276" w:lineRule="auto"/>
        <w:ind w:firstLine="567"/>
        <w:jc w:val="both"/>
        <w:rPr>
          <w:rFonts w:ascii="Garamond" w:hAnsi="Garamond"/>
          <w:sz w:val="22"/>
          <w:szCs w:val="22"/>
        </w:rPr>
      </w:pPr>
      <w:r w:rsidRPr="008D17DA">
        <w:rPr>
          <w:rFonts w:ascii="Garamond" w:hAnsi="Garamond"/>
          <w:sz w:val="22"/>
          <w:szCs w:val="22"/>
        </w:rPr>
        <w:t>The findings were organized according to the three research questions established in the study.</w:t>
      </w:r>
      <w:r>
        <w:rPr>
          <w:rFonts w:ascii="Garamond" w:hAnsi="Garamond"/>
          <w:sz w:val="22"/>
          <w:szCs w:val="22"/>
        </w:rPr>
        <w:t xml:space="preserve"> </w:t>
      </w:r>
      <w:r w:rsidRPr="008D17DA">
        <w:rPr>
          <w:rStyle w:val="Strong"/>
          <w:rFonts w:ascii="Garamond" w:hAnsi="Garamond"/>
          <w:b w:val="0"/>
          <w:bCs w:val="0"/>
          <w:sz w:val="22"/>
          <w:szCs w:val="22"/>
        </w:rPr>
        <w:t>Research Question 1: What is legal sociology?</w:t>
      </w:r>
      <w:r w:rsidRPr="008D17DA">
        <w:rPr>
          <w:rFonts w:ascii="Garamond" w:hAnsi="Garamond"/>
          <w:b/>
          <w:bCs/>
          <w:sz w:val="22"/>
          <w:szCs w:val="22"/>
        </w:rPr>
        <w:t xml:space="preserve"> </w:t>
      </w:r>
      <w:r w:rsidRPr="008D17DA">
        <w:rPr>
          <w:rFonts w:ascii="Garamond" w:hAnsi="Garamond"/>
          <w:sz w:val="22"/>
          <w:szCs w:val="22"/>
        </w:rPr>
        <w:t xml:space="preserve">The analysis established that legal sociology is a field of study examining law as a social phenomenon and </w:t>
      </w:r>
      <w:proofErr w:type="spellStart"/>
      <w:r w:rsidRPr="008D17DA">
        <w:rPr>
          <w:rFonts w:ascii="Garamond" w:hAnsi="Garamond"/>
          <w:sz w:val="22"/>
          <w:szCs w:val="22"/>
        </w:rPr>
        <w:t>analyzing</w:t>
      </w:r>
      <w:proofErr w:type="spellEnd"/>
      <w:r w:rsidRPr="008D17DA">
        <w:rPr>
          <w:rFonts w:ascii="Garamond" w:hAnsi="Garamond"/>
          <w:sz w:val="22"/>
          <w:szCs w:val="22"/>
        </w:rPr>
        <w:t xml:space="preserve"> the reciprocal relationship between legal norms and society. It examines how law is formed, implemented, obeyed, contested, or violated and how social change may influence the development of legal norms.</w:t>
      </w:r>
      <w:r>
        <w:rPr>
          <w:rFonts w:ascii="Garamond" w:hAnsi="Garamond"/>
          <w:sz w:val="22"/>
          <w:szCs w:val="22"/>
        </w:rPr>
        <w:t xml:space="preserve"> </w:t>
      </w:r>
      <w:r w:rsidRPr="008D17DA">
        <w:rPr>
          <w:rStyle w:val="Strong"/>
          <w:rFonts w:ascii="Garamond" w:hAnsi="Garamond"/>
          <w:b w:val="0"/>
          <w:bCs w:val="0"/>
          <w:sz w:val="22"/>
          <w:szCs w:val="22"/>
        </w:rPr>
        <w:t>Research Question 2: How is social justice conceptualized from a legal sociology perspective?</w:t>
      </w:r>
      <w:r w:rsidRPr="008D17DA">
        <w:rPr>
          <w:rFonts w:ascii="Garamond" w:hAnsi="Garamond"/>
          <w:b/>
          <w:bCs/>
          <w:sz w:val="22"/>
          <w:szCs w:val="22"/>
        </w:rPr>
        <w:t xml:space="preserve"> </w:t>
      </w:r>
      <w:r w:rsidRPr="008D17DA">
        <w:rPr>
          <w:rFonts w:ascii="Garamond" w:hAnsi="Garamond"/>
          <w:sz w:val="22"/>
          <w:szCs w:val="22"/>
        </w:rPr>
        <w:t xml:space="preserve">The analysis established that social </w:t>
      </w:r>
      <w:r w:rsidRPr="008D17DA">
        <w:rPr>
          <w:rFonts w:ascii="Garamond" w:hAnsi="Garamond"/>
          <w:sz w:val="22"/>
          <w:szCs w:val="22"/>
        </w:rPr>
        <w:lastRenderedPageBreak/>
        <w:t>justice involves fair treatment, protection of rights, equality, and meaningful access to justice. From a socio-legal perspective, social justice cannot be reduced to formal equality because social and economic inequalities can influence the ability of individuals and groups to exercise their legal rights.</w:t>
      </w:r>
      <w:r>
        <w:rPr>
          <w:rFonts w:ascii="Garamond" w:hAnsi="Garamond"/>
          <w:sz w:val="22"/>
          <w:szCs w:val="22"/>
        </w:rPr>
        <w:t xml:space="preserve"> </w:t>
      </w:r>
      <w:r w:rsidRPr="008D17DA">
        <w:rPr>
          <w:rStyle w:val="Strong"/>
          <w:rFonts w:ascii="Garamond" w:hAnsi="Garamond"/>
          <w:b w:val="0"/>
          <w:bCs w:val="0"/>
          <w:sz w:val="22"/>
          <w:szCs w:val="22"/>
        </w:rPr>
        <w:t>Research Question 3: What role does legal sociology play in advancing social justice in society?</w:t>
      </w:r>
      <w:r>
        <w:rPr>
          <w:rFonts w:ascii="Garamond" w:hAnsi="Garamond"/>
          <w:sz w:val="22"/>
          <w:szCs w:val="22"/>
        </w:rPr>
        <w:t xml:space="preserve"> </w:t>
      </w:r>
      <w:r w:rsidRPr="008D17DA">
        <w:rPr>
          <w:rFonts w:ascii="Garamond" w:hAnsi="Garamond"/>
          <w:sz w:val="22"/>
          <w:szCs w:val="22"/>
        </w:rPr>
        <w:t xml:space="preserve">The </w:t>
      </w:r>
      <w:r w:rsidRPr="008D17DA">
        <w:rPr>
          <w:rFonts w:ascii="Garamond" w:hAnsi="Garamond"/>
          <w:sz w:val="22"/>
          <w:szCs w:val="22"/>
        </w:rPr>
        <w:t>analysis established that legal sociology contributes to social justice by identifying social conditions relevant to lawmaking and enforcement, strengthening protection for vulnerable groups, improving access to justice, evaluating the effectiveness of legal rules, and aligning formal law with values and norms existing within society.</w:t>
      </w:r>
    </w:p>
    <w:p w14:paraId="1EA5B9D5" w14:textId="77777777" w:rsidR="003A6CA3" w:rsidRDefault="003A6CA3" w:rsidP="008D17DA">
      <w:pPr>
        <w:pStyle w:val="isselectedend"/>
        <w:spacing w:before="0" w:beforeAutospacing="0" w:after="0" w:afterAutospacing="0"/>
        <w:jc w:val="center"/>
        <w:rPr>
          <w:rStyle w:val="Strong"/>
          <w:rFonts w:ascii="Garamond" w:hAnsi="Garamond"/>
          <w:sz w:val="22"/>
          <w:szCs w:val="22"/>
        </w:rPr>
        <w:sectPr w:rsidR="003A6CA3" w:rsidSect="003A6CA3">
          <w:type w:val="continuous"/>
          <w:pgSz w:w="11909" w:h="16834"/>
          <w:pgMar w:top="1134" w:right="1134" w:bottom="1134" w:left="1134" w:header="567" w:footer="720" w:gutter="0"/>
          <w:cols w:num="2" w:space="720"/>
          <w:docGrid w:linePitch="360"/>
        </w:sectPr>
      </w:pPr>
    </w:p>
    <w:p w14:paraId="40F9EE7F" w14:textId="77777777" w:rsidR="008D17DA" w:rsidRDefault="008D17DA" w:rsidP="008D17DA">
      <w:pPr>
        <w:pStyle w:val="isselectedend"/>
        <w:spacing w:before="0" w:beforeAutospacing="0" w:after="0" w:afterAutospacing="0"/>
        <w:jc w:val="center"/>
        <w:rPr>
          <w:rStyle w:val="Strong"/>
          <w:rFonts w:ascii="Garamond" w:hAnsi="Garamond"/>
          <w:sz w:val="22"/>
          <w:szCs w:val="22"/>
        </w:rPr>
      </w:pPr>
    </w:p>
    <w:p w14:paraId="0129A59F" w14:textId="25A834AF" w:rsidR="008D17DA" w:rsidRPr="008D17DA" w:rsidRDefault="008D17DA" w:rsidP="008D17DA">
      <w:pPr>
        <w:pStyle w:val="isselectedend"/>
        <w:spacing w:before="0" w:beforeAutospacing="0" w:after="0" w:afterAutospacing="0"/>
        <w:jc w:val="center"/>
        <w:rPr>
          <w:rFonts w:ascii="Garamond" w:hAnsi="Garamond"/>
          <w:sz w:val="22"/>
          <w:szCs w:val="22"/>
        </w:rPr>
      </w:pPr>
      <w:r w:rsidRPr="008D17DA">
        <w:rPr>
          <w:rStyle w:val="Strong"/>
          <w:rFonts w:ascii="Garamond" w:hAnsi="Garamond"/>
          <w:sz w:val="22"/>
          <w:szCs w:val="22"/>
        </w:rPr>
        <w:t>Table 2. Summary of Research Findings</w:t>
      </w:r>
    </w:p>
    <w:tbl>
      <w:tblPr>
        <w:tblStyle w:val="PlainTable2"/>
        <w:tblW w:w="0" w:type="auto"/>
        <w:tblLook w:val="04A0" w:firstRow="1" w:lastRow="0" w:firstColumn="1" w:lastColumn="0" w:noHBand="0" w:noVBand="1"/>
      </w:tblPr>
      <w:tblGrid>
        <w:gridCol w:w="1865"/>
        <w:gridCol w:w="3981"/>
        <w:gridCol w:w="4011"/>
      </w:tblGrid>
      <w:tr w:rsidR="008D17DA" w:rsidRPr="008D17DA" w14:paraId="2A0F1AD0" w14:textId="77777777" w:rsidTr="008D17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C372FE"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Research Question</w:t>
            </w:r>
          </w:p>
        </w:tc>
        <w:tc>
          <w:tcPr>
            <w:tcW w:w="0" w:type="auto"/>
            <w:hideMark/>
          </w:tcPr>
          <w:p w14:paraId="261F56E3" w14:textId="77777777" w:rsidR="008D17DA" w:rsidRPr="008D17DA" w:rsidRDefault="008D17DA" w:rsidP="008D17DA">
            <w:pPr>
              <w:cnfStyle w:val="100000000000" w:firstRow="1" w:lastRow="0" w:firstColumn="0" w:lastColumn="0" w:oddVBand="0" w:evenVBand="0" w:oddHBand="0" w:evenHBand="0" w:firstRowFirstColumn="0" w:firstRowLastColumn="0" w:lastRowFirstColumn="0" w:lastRowLastColumn="0"/>
              <w:rPr>
                <w:rFonts w:ascii="Garamond" w:hAnsi="Garamond"/>
                <w:b w:val="0"/>
                <w:bCs w:val="0"/>
                <w:sz w:val="22"/>
                <w:szCs w:val="22"/>
              </w:rPr>
            </w:pPr>
            <w:r w:rsidRPr="008D17DA">
              <w:rPr>
                <w:rFonts w:ascii="Garamond" w:hAnsi="Garamond"/>
                <w:b w:val="0"/>
                <w:bCs w:val="0"/>
                <w:sz w:val="22"/>
                <w:szCs w:val="22"/>
              </w:rPr>
              <w:t>Analytical Finding</w:t>
            </w:r>
          </w:p>
        </w:tc>
        <w:tc>
          <w:tcPr>
            <w:tcW w:w="0" w:type="auto"/>
            <w:hideMark/>
          </w:tcPr>
          <w:p w14:paraId="1B5514E3" w14:textId="77777777" w:rsidR="008D17DA" w:rsidRPr="008D17DA" w:rsidRDefault="008D17DA" w:rsidP="008D17DA">
            <w:pPr>
              <w:cnfStyle w:val="100000000000" w:firstRow="1" w:lastRow="0" w:firstColumn="0" w:lastColumn="0" w:oddVBand="0" w:evenVBand="0" w:oddHBand="0" w:evenHBand="0" w:firstRowFirstColumn="0" w:firstRowLastColumn="0" w:lastRowFirstColumn="0" w:lastRowLastColumn="0"/>
              <w:rPr>
                <w:rFonts w:ascii="Garamond" w:hAnsi="Garamond"/>
                <w:b w:val="0"/>
                <w:bCs w:val="0"/>
                <w:sz w:val="22"/>
                <w:szCs w:val="22"/>
              </w:rPr>
            </w:pPr>
            <w:r w:rsidRPr="008D17DA">
              <w:rPr>
                <w:rFonts w:ascii="Garamond" w:hAnsi="Garamond"/>
                <w:b w:val="0"/>
                <w:bCs w:val="0"/>
                <w:sz w:val="22"/>
                <w:szCs w:val="22"/>
              </w:rPr>
              <w:t>Socio-Legal Implication</w:t>
            </w:r>
          </w:p>
        </w:tc>
      </w:tr>
      <w:tr w:rsidR="008D17DA" w:rsidRPr="008D17DA" w14:paraId="3768917B" w14:textId="77777777" w:rsidTr="008D1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08468F1"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Meaning of legal sociology</w:t>
            </w:r>
          </w:p>
        </w:tc>
        <w:tc>
          <w:tcPr>
            <w:tcW w:w="0" w:type="auto"/>
            <w:hideMark/>
          </w:tcPr>
          <w:p w14:paraId="12BAB50E"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Law is a social phenomenon that interacts reciprocally with society</w:t>
            </w:r>
          </w:p>
        </w:tc>
        <w:tc>
          <w:tcPr>
            <w:tcW w:w="0" w:type="auto"/>
            <w:hideMark/>
          </w:tcPr>
          <w:p w14:paraId="1FC082D9"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Legal analysis should consider social realities</w:t>
            </w:r>
          </w:p>
        </w:tc>
      </w:tr>
      <w:tr w:rsidR="008D17DA" w:rsidRPr="008D17DA" w14:paraId="015563B3" w14:textId="77777777" w:rsidTr="008D17DA">
        <w:tc>
          <w:tcPr>
            <w:cnfStyle w:val="001000000000" w:firstRow="0" w:lastRow="0" w:firstColumn="1" w:lastColumn="0" w:oddVBand="0" w:evenVBand="0" w:oddHBand="0" w:evenHBand="0" w:firstRowFirstColumn="0" w:firstRowLastColumn="0" w:lastRowFirstColumn="0" w:lastRowLastColumn="0"/>
            <w:tcW w:w="0" w:type="auto"/>
            <w:hideMark/>
          </w:tcPr>
          <w:p w14:paraId="41A1DC92"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Concept of social justice</w:t>
            </w:r>
          </w:p>
        </w:tc>
        <w:tc>
          <w:tcPr>
            <w:tcW w:w="0" w:type="auto"/>
            <w:hideMark/>
          </w:tcPr>
          <w:p w14:paraId="7997B26A" w14:textId="77777777" w:rsidR="008D17DA" w:rsidRPr="008D17DA" w:rsidRDefault="008D17DA" w:rsidP="008D17DA">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8D17DA">
              <w:rPr>
                <w:rFonts w:ascii="Garamond" w:hAnsi="Garamond"/>
                <w:sz w:val="22"/>
                <w:szCs w:val="22"/>
              </w:rPr>
              <w:t>Justice requires substantive equality and protection of rights</w:t>
            </w:r>
          </w:p>
        </w:tc>
        <w:tc>
          <w:tcPr>
            <w:tcW w:w="0" w:type="auto"/>
            <w:hideMark/>
          </w:tcPr>
          <w:p w14:paraId="4BA4837E" w14:textId="77777777" w:rsidR="008D17DA" w:rsidRPr="008D17DA" w:rsidRDefault="008D17DA" w:rsidP="008D17DA">
            <w:pP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8D17DA">
              <w:rPr>
                <w:rFonts w:ascii="Garamond" w:hAnsi="Garamond"/>
                <w:sz w:val="22"/>
                <w:szCs w:val="22"/>
              </w:rPr>
              <w:t>Formal equality alone is insufficient</w:t>
            </w:r>
          </w:p>
        </w:tc>
      </w:tr>
      <w:tr w:rsidR="008D17DA" w:rsidRPr="008D17DA" w14:paraId="4E518838" w14:textId="77777777" w:rsidTr="008D17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DE8539" w14:textId="77777777" w:rsidR="008D17DA" w:rsidRPr="008D17DA" w:rsidRDefault="008D17DA" w:rsidP="008D17DA">
            <w:pPr>
              <w:rPr>
                <w:rFonts w:ascii="Garamond" w:hAnsi="Garamond"/>
                <w:b w:val="0"/>
                <w:bCs w:val="0"/>
                <w:sz w:val="22"/>
                <w:szCs w:val="22"/>
              </w:rPr>
            </w:pPr>
            <w:r w:rsidRPr="008D17DA">
              <w:rPr>
                <w:rFonts w:ascii="Garamond" w:hAnsi="Garamond"/>
                <w:b w:val="0"/>
                <w:bCs w:val="0"/>
                <w:sz w:val="22"/>
                <w:szCs w:val="22"/>
              </w:rPr>
              <w:t>Role of legal sociology</w:t>
            </w:r>
          </w:p>
        </w:tc>
        <w:tc>
          <w:tcPr>
            <w:tcW w:w="0" w:type="auto"/>
            <w:hideMark/>
          </w:tcPr>
          <w:p w14:paraId="4AA9A237"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Legal sociology connects legal norms with social conditions</w:t>
            </w:r>
          </w:p>
        </w:tc>
        <w:tc>
          <w:tcPr>
            <w:tcW w:w="0" w:type="auto"/>
            <w:hideMark/>
          </w:tcPr>
          <w:p w14:paraId="68C0FA5C" w14:textId="77777777" w:rsidR="008D17DA" w:rsidRPr="008D17DA" w:rsidRDefault="008D17DA" w:rsidP="008D17DA">
            <w:pPr>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D17DA">
              <w:rPr>
                <w:rFonts w:ascii="Garamond" w:hAnsi="Garamond"/>
                <w:sz w:val="22"/>
                <w:szCs w:val="22"/>
              </w:rPr>
              <w:t>Law should become more responsive, inclusive, and socially relevant</w:t>
            </w:r>
          </w:p>
        </w:tc>
      </w:tr>
    </w:tbl>
    <w:p w14:paraId="434D84DF" w14:textId="453AB642" w:rsidR="008D17DA" w:rsidRDefault="003A6CA3" w:rsidP="003A6CA3">
      <w:pPr>
        <w:pStyle w:val="isselectedend"/>
        <w:spacing w:before="0" w:beforeAutospacing="0" w:after="0" w:afterAutospacing="0"/>
        <w:jc w:val="center"/>
        <w:rPr>
          <w:rFonts w:ascii="Garamond" w:hAnsi="Garamond"/>
          <w:sz w:val="22"/>
          <w:szCs w:val="22"/>
        </w:rPr>
      </w:pPr>
      <w:r>
        <w:rPr>
          <w:rFonts w:ascii="Garamond" w:hAnsi="Garamond"/>
          <w:sz w:val="22"/>
          <w:szCs w:val="22"/>
        </w:rPr>
        <w:t>Source: Authors</w:t>
      </w:r>
    </w:p>
    <w:p w14:paraId="42D71304" w14:textId="77777777" w:rsidR="003A6CA3" w:rsidRDefault="003A6CA3" w:rsidP="008D17DA">
      <w:pPr>
        <w:pStyle w:val="isselectedend"/>
        <w:spacing w:before="0" w:beforeAutospacing="0" w:after="0" w:afterAutospacing="0"/>
        <w:ind w:firstLine="567"/>
        <w:jc w:val="both"/>
        <w:rPr>
          <w:rFonts w:ascii="Garamond" w:hAnsi="Garamond"/>
          <w:sz w:val="22"/>
          <w:szCs w:val="22"/>
        </w:rPr>
      </w:pPr>
    </w:p>
    <w:p w14:paraId="0DF1430C" w14:textId="77777777" w:rsidR="003A6CA3" w:rsidRDefault="003A6CA3" w:rsidP="003A6CA3">
      <w:pPr>
        <w:pStyle w:val="isselectedend"/>
        <w:spacing w:before="0" w:beforeAutospacing="0" w:after="0" w:afterAutospacing="0" w:line="276" w:lineRule="auto"/>
        <w:ind w:firstLine="567"/>
        <w:jc w:val="both"/>
        <w:rPr>
          <w:rFonts w:ascii="Garamond" w:hAnsi="Garamond"/>
          <w:sz w:val="22"/>
          <w:szCs w:val="22"/>
        </w:rPr>
        <w:sectPr w:rsidR="003A6CA3" w:rsidSect="008D17DA">
          <w:type w:val="continuous"/>
          <w:pgSz w:w="11909" w:h="16834"/>
          <w:pgMar w:top="1134" w:right="1134" w:bottom="1134" w:left="1134" w:header="567" w:footer="720" w:gutter="0"/>
          <w:cols w:space="720"/>
          <w:docGrid w:linePitch="360"/>
        </w:sectPr>
      </w:pPr>
    </w:p>
    <w:p w14:paraId="28E39C4B" w14:textId="7A705A84" w:rsidR="008D17DA" w:rsidRPr="008D17DA" w:rsidRDefault="008D17DA" w:rsidP="003A6CA3">
      <w:pPr>
        <w:pStyle w:val="isselectedend"/>
        <w:spacing w:before="0" w:beforeAutospacing="0" w:after="0" w:afterAutospacing="0" w:line="276" w:lineRule="auto"/>
        <w:ind w:firstLine="567"/>
        <w:jc w:val="both"/>
        <w:rPr>
          <w:rFonts w:ascii="Garamond" w:hAnsi="Garamond"/>
          <w:sz w:val="22"/>
          <w:szCs w:val="22"/>
        </w:rPr>
      </w:pPr>
      <w:r w:rsidRPr="008D17DA">
        <w:rPr>
          <w:rFonts w:ascii="Garamond" w:hAnsi="Garamond"/>
          <w:sz w:val="22"/>
          <w:szCs w:val="22"/>
        </w:rPr>
        <w:t>Table 2 demonstrates that all three research questions are interconnected. The conceptual understanding of legal sociology provides the foundation for interpreting social justice, while the concept of social justice provides the normative direction for assessing the operation and effectiveness of law.</w:t>
      </w:r>
    </w:p>
    <w:p w14:paraId="46C3D956" w14:textId="77777777" w:rsidR="008D17DA" w:rsidRDefault="008D17DA" w:rsidP="003A6CA3">
      <w:pPr>
        <w:pStyle w:val="ListParagraph"/>
        <w:spacing w:line="276" w:lineRule="auto"/>
        <w:ind w:left="567"/>
        <w:rPr>
          <w:rFonts w:ascii="Garamond" w:hAnsi="Garamond"/>
          <w:b/>
          <w:sz w:val="22"/>
          <w:szCs w:val="22"/>
          <w:lang w:val="id-ID"/>
        </w:rPr>
      </w:pPr>
    </w:p>
    <w:p w14:paraId="7820A50D" w14:textId="1768D34B" w:rsidR="003A6CA3" w:rsidRDefault="00F8470F" w:rsidP="003A6CA3">
      <w:pPr>
        <w:pStyle w:val="NormalWeb"/>
        <w:numPr>
          <w:ilvl w:val="2"/>
          <w:numId w:val="39"/>
        </w:numPr>
        <w:spacing w:before="0" w:beforeAutospacing="0" w:after="0" w:afterAutospacing="0" w:line="276" w:lineRule="auto"/>
        <w:ind w:left="567" w:hanging="567"/>
        <w:jc w:val="both"/>
        <w:rPr>
          <w:rStyle w:val="Strong"/>
          <w:rFonts w:ascii="Garamond" w:hAnsi="Garamond"/>
          <w:b w:val="0"/>
          <w:bCs w:val="0"/>
          <w:color w:val="002060"/>
          <w:sz w:val="22"/>
          <w:szCs w:val="22"/>
        </w:rPr>
      </w:pPr>
      <w:r w:rsidRPr="00824144">
        <w:rPr>
          <w:rStyle w:val="Strong"/>
          <w:rFonts w:ascii="Garamond" w:hAnsi="Garamond"/>
          <w:b w:val="0"/>
          <w:bCs w:val="0"/>
          <w:color w:val="002060"/>
          <w:sz w:val="22"/>
          <w:szCs w:val="22"/>
        </w:rPr>
        <w:t>Visual Presentation of Results</w:t>
      </w:r>
    </w:p>
    <w:p w14:paraId="36675C70" w14:textId="77777777" w:rsidR="003A6CA3" w:rsidRPr="003A6CA3" w:rsidRDefault="003A6CA3" w:rsidP="003A6CA3">
      <w:pPr>
        <w:pStyle w:val="isselectedend"/>
        <w:spacing w:before="0" w:beforeAutospacing="0" w:after="0" w:afterAutospacing="0" w:line="276" w:lineRule="auto"/>
        <w:ind w:firstLine="567"/>
        <w:jc w:val="both"/>
        <w:rPr>
          <w:rFonts w:ascii="Garamond" w:hAnsi="Garamond"/>
          <w:sz w:val="22"/>
          <w:szCs w:val="22"/>
        </w:rPr>
      </w:pPr>
      <w:r w:rsidRPr="003A6CA3">
        <w:rPr>
          <w:rFonts w:ascii="Garamond" w:hAnsi="Garamond"/>
          <w:sz w:val="22"/>
          <w:szCs w:val="22"/>
        </w:rPr>
        <w:t xml:space="preserve">The research findings are presented in Tables 1 and 2 to provide a structured synthesis of the normative and socio-legal analysis. Table 1 summarizes the main analytical dimensions, including legal sociology, social justice, </w:t>
      </w:r>
      <w:r w:rsidRPr="003A6CA3">
        <w:rPr>
          <w:rStyle w:val="Emphasis"/>
          <w:rFonts w:ascii="Garamond" w:hAnsi="Garamond"/>
          <w:sz w:val="22"/>
          <w:szCs w:val="22"/>
        </w:rPr>
        <w:t>law in action</w:t>
      </w:r>
      <w:r w:rsidRPr="003A6CA3">
        <w:rPr>
          <w:rFonts w:ascii="Garamond" w:hAnsi="Garamond"/>
          <w:sz w:val="22"/>
          <w:szCs w:val="22"/>
        </w:rPr>
        <w:t>, vulnerable groups, access to justice, social values, and legal effectiveness. Table 2 directly connects the three research questions with the principal analytical findings.</w:t>
      </w:r>
    </w:p>
    <w:p w14:paraId="3651F461" w14:textId="77777777" w:rsidR="003A6CA3" w:rsidRPr="003A6CA3" w:rsidRDefault="003A6CA3" w:rsidP="003A6CA3">
      <w:pPr>
        <w:pStyle w:val="NormalWeb"/>
        <w:spacing w:before="0" w:beforeAutospacing="0" w:after="0" w:afterAutospacing="0" w:line="276" w:lineRule="auto"/>
        <w:ind w:firstLine="567"/>
        <w:jc w:val="both"/>
        <w:rPr>
          <w:rFonts w:ascii="Garamond" w:hAnsi="Garamond"/>
          <w:sz w:val="22"/>
          <w:szCs w:val="22"/>
        </w:rPr>
      </w:pPr>
      <w:r w:rsidRPr="003A6CA3">
        <w:rPr>
          <w:rFonts w:ascii="Garamond" w:hAnsi="Garamond"/>
          <w:sz w:val="22"/>
          <w:szCs w:val="22"/>
        </w:rPr>
        <w:t>Overall, the tables demonstrate that legal sociology connects legal norms with social realities and that the realization of social justice requires more than formal equality. The findings emphasize the importance of social conditions, protection of vulnerable groups, equal access to justice, effective law enforcement, and responsiveness to social values. These results provide the analytical basis for the discussion in Section 4.2.</w:t>
      </w:r>
    </w:p>
    <w:p w14:paraId="1C8902AA" w14:textId="77777777" w:rsidR="003A6CA3" w:rsidRPr="003A6CA3" w:rsidRDefault="003A6CA3" w:rsidP="003A6CA3">
      <w:pPr>
        <w:pStyle w:val="ListParagraph"/>
        <w:spacing w:line="276" w:lineRule="auto"/>
        <w:ind w:left="284"/>
        <w:jc w:val="both"/>
        <w:rPr>
          <w:rFonts w:ascii="Garamond" w:hAnsi="Garamond"/>
          <w:color w:val="0070C0"/>
          <w:sz w:val="22"/>
          <w:szCs w:val="22"/>
          <w:lang w:val="id-ID"/>
        </w:rPr>
      </w:pPr>
    </w:p>
    <w:p w14:paraId="633870F2" w14:textId="0485CFFE" w:rsidR="00F8470F" w:rsidRPr="00A05948" w:rsidRDefault="00F8470F" w:rsidP="003A6CA3">
      <w:pPr>
        <w:pStyle w:val="ListParagraph"/>
        <w:numPr>
          <w:ilvl w:val="1"/>
          <w:numId w:val="39"/>
        </w:numPr>
        <w:spacing w:line="276" w:lineRule="auto"/>
        <w:ind w:left="284" w:hanging="284"/>
        <w:jc w:val="both"/>
        <w:rPr>
          <w:rFonts w:ascii="Garamond" w:hAnsi="Garamond"/>
          <w:color w:val="0070C0"/>
          <w:sz w:val="22"/>
          <w:szCs w:val="22"/>
          <w:lang w:val="id-ID"/>
        </w:rPr>
      </w:pPr>
      <w:proofErr w:type="spellStart"/>
      <w:r w:rsidRPr="00A05948">
        <w:rPr>
          <w:rFonts w:ascii="Garamond" w:hAnsi="Garamond"/>
          <w:b/>
          <w:sz w:val="22"/>
          <w:szCs w:val="22"/>
          <w:lang w:val="id-ID"/>
        </w:rPr>
        <w:t>Research</w:t>
      </w:r>
      <w:proofErr w:type="spellEnd"/>
      <w:r w:rsidRPr="00A05948">
        <w:rPr>
          <w:rFonts w:ascii="Garamond" w:hAnsi="Garamond"/>
          <w:b/>
          <w:sz w:val="22"/>
          <w:szCs w:val="22"/>
          <w:lang w:val="id-ID"/>
        </w:rPr>
        <w:t xml:space="preserve"> </w:t>
      </w:r>
      <w:proofErr w:type="spellStart"/>
      <w:r w:rsidRPr="00A05948">
        <w:rPr>
          <w:rFonts w:ascii="Garamond" w:hAnsi="Garamond"/>
          <w:b/>
          <w:sz w:val="22"/>
          <w:szCs w:val="22"/>
          <w:lang w:val="id-ID"/>
        </w:rPr>
        <w:t>Discussion</w:t>
      </w:r>
      <w:proofErr w:type="spellEnd"/>
      <w:r w:rsidRPr="00A05948">
        <w:rPr>
          <w:rFonts w:ascii="Garamond" w:hAnsi="Garamond"/>
          <w:b/>
          <w:sz w:val="22"/>
          <w:szCs w:val="22"/>
          <w:lang w:val="id-ID"/>
        </w:rPr>
        <w:t xml:space="preserve"> </w:t>
      </w:r>
    </w:p>
    <w:p w14:paraId="4C28E33B" w14:textId="1195FB79" w:rsidR="00A05948" w:rsidRPr="00A05948" w:rsidRDefault="00A05948" w:rsidP="003A6CA3">
      <w:pPr>
        <w:pStyle w:val="Heading3"/>
        <w:numPr>
          <w:ilvl w:val="2"/>
          <w:numId w:val="39"/>
        </w:numPr>
        <w:spacing w:before="0" w:line="276" w:lineRule="auto"/>
        <w:ind w:left="567" w:hanging="578"/>
        <w:jc w:val="both"/>
        <w:rPr>
          <w:rFonts w:ascii="Garamond" w:hAnsi="Garamond"/>
          <w:b w:val="0"/>
          <w:bCs w:val="0"/>
          <w:color w:val="002060"/>
          <w:sz w:val="22"/>
          <w:szCs w:val="22"/>
        </w:rPr>
      </w:pPr>
      <w:r w:rsidRPr="00A05948">
        <w:rPr>
          <w:rFonts w:ascii="Garamond" w:hAnsi="Garamond"/>
          <w:b w:val="0"/>
          <w:bCs w:val="0"/>
          <w:color w:val="002060"/>
          <w:sz w:val="22"/>
          <w:szCs w:val="22"/>
        </w:rPr>
        <w:t>Interpretation of Key Findings</w:t>
      </w:r>
    </w:p>
    <w:p w14:paraId="57A2201B" w14:textId="77777777" w:rsidR="00A05948" w:rsidRPr="00A05948" w:rsidRDefault="00A05948" w:rsidP="003A6CA3">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findings demonstrate that legal sociology plays a strategic role in understanding and </w:t>
      </w:r>
      <w:r w:rsidRPr="00A05948">
        <w:rPr>
          <w:rFonts w:ascii="Garamond" w:hAnsi="Garamond"/>
          <w:sz w:val="22"/>
          <w:szCs w:val="22"/>
        </w:rPr>
        <w:t>advancing social justice by connecting legal norms with the social realities in which those norms operate. The three research questions addressed in this study are conceptually interconnected. The first question establishes the meaning of legal sociology as the study of the reciprocal relationship between law and society. The second demonstrates that social justice cannot be understood exclusively through formal equality but must also consider social and economic conditions. The third establishes that legal sociology contributes to social justice through its ability to identify social conditions, protect vulnerable groups, improve access to justice, evaluate the effectiveness of law, and connect formal state law with social values.</w:t>
      </w:r>
    </w:p>
    <w:p w14:paraId="01B68534"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first finding confirms that law operates as both a normative system and a social institution. Legal rules are formulated to regulate </w:t>
      </w:r>
      <w:proofErr w:type="spellStart"/>
      <w:r w:rsidRPr="00A05948">
        <w:rPr>
          <w:rFonts w:ascii="Garamond" w:hAnsi="Garamond"/>
          <w:sz w:val="22"/>
          <w:szCs w:val="22"/>
        </w:rPr>
        <w:t>behavior</w:t>
      </w:r>
      <w:proofErr w:type="spellEnd"/>
      <w:r w:rsidRPr="00A05948">
        <w:rPr>
          <w:rFonts w:ascii="Garamond" w:hAnsi="Garamond"/>
          <w:sz w:val="22"/>
          <w:szCs w:val="22"/>
        </w:rPr>
        <w:t xml:space="preserve"> and maintain social order, but their implementation is influenced by cultural values, social structures, economic conditions, and patterns of </w:t>
      </w:r>
      <w:proofErr w:type="spellStart"/>
      <w:r w:rsidRPr="00A05948">
        <w:rPr>
          <w:rFonts w:ascii="Garamond" w:hAnsi="Garamond"/>
          <w:sz w:val="22"/>
          <w:szCs w:val="22"/>
        </w:rPr>
        <w:t>behavior</w:t>
      </w:r>
      <w:proofErr w:type="spellEnd"/>
      <w:r w:rsidRPr="00A05948">
        <w:rPr>
          <w:rFonts w:ascii="Garamond" w:hAnsi="Garamond"/>
          <w:sz w:val="22"/>
          <w:szCs w:val="22"/>
        </w:rPr>
        <w:t xml:space="preserve">. Consequently, the existence of a legal rule does not automatically determine its social consequences. The distinction between </w:t>
      </w:r>
      <w:r w:rsidRPr="00A05948">
        <w:rPr>
          <w:rStyle w:val="Emphasis"/>
          <w:rFonts w:ascii="Garamond" w:hAnsi="Garamond"/>
          <w:sz w:val="22"/>
          <w:szCs w:val="22"/>
        </w:rPr>
        <w:t>law in the books</w:t>
      </w:r>
      <w:r w:rsidRPr="00A05948">
        <w:rPr>
          <w:rFonts w:ascii="Garamond" w:hAnsi="Garamond"/>
          <w:sz w:val="22"/>
          <w:szCs w:val="22"/>
        </w:rPr>
        <w:t xml:space="preserve"> and </w:t>
      </w:r>
      <w:r w:rsidRPr="00A05948">
        <w:rPr>
          <w:rStyle w:val="Emphasis"/>
          <w:rFonts w:ascii="Garamond" w:hAnsi="Garamond"/>
          <w:sz w:val="22"/>
          <w:szCs w:val="22"/>
        </w:rPr>
        <w:t>law in action</w:t>
      </w:r>
      <w:r w:rsidRPr="00A05948">
        <w:rPr>
          <w:rFonts w:ascii="Garamond" w:hAnsi="Garamond"/>
          <w:sz w:val="22"/>
          <w:szCs w:val="22"/>
        </w:rPr>
        <w:t xml:space="preserve"> provides an important basis for understanding this finding because formal legal provisions may operate differently when applied within unequal and socially diverse environments.</w:t>
      </w:r>
    </w:p>
    <w:p w14:paraId="5220C3C0"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second finding indicates that social justice requires a substantive understanding of equality. Formal equality provides an essential normative foundation, but identical legal treatment </w:t>
      </w:r>
      <w:r w:rsidRPr="00A05948">
        <w:rPr>
          <w:rFonts w:ascii="Garamond" w:hAnsi="Garamond"/>
          <w:sz w:val="22"/>
          <w:szCs w:val="22"/>
        </w:rPr>
        <w:lastRenderedPageBreak/>
        <w:t>may not produce equitable outcomes when members of society possess substantially different economic, educational, social, or institutional resources. The finding therefore supports the argument that social justice requires attention to the circumstances under which legal rights are exercised. In this context, protecting vulnerable groups and reducing barriers to justice are not departures from equality but mechanisms for achieving meaningful equality.</w:t>
      </w:r>
    </w:p>
    <w:p w14:paraId="4E028EDE"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third finding demonstrates that legal sociology performs a bridging function between normative law and social reality. By identifying social conditions, examining legal </w:t>
      </w:r>
      <w:proofErr w:type="spellStart"/>
      <w:r w:rsidRPr="00A05948">
        <w:rPr>
          <w:rFonts w:ascii="Garamond" w:hAnsi="Garamond"/>
          <w:sz w:val="22"/>
          <w:szCs w:val="22"/>
        </w:rPr>
        <w:t>behavior</w:t>
      </w:r>
      <w:proofErr w:type="spellEnd"/>
      <w:r w:rsidRPr="00A05948">
        <w:rPr>
          <w:rFonts w:ascii="Garamond" w:hAnsi="Garamond"/>
          <w:sz w:val="22"/>
          <w:szCs w:val="22"/>
        </w:rPr>
        <w:t xml:space="preserve">, evaluating institutional implementation, and </w:t>
      </w:r>
      <w:proofErr w:type="spellStart"/>
      <w:r w:rsidRPr="00A05948">
        <w:rPr>
          <w:rFonts w:ascii="Garamond" w:hAnsi="Garamond"/>
          <w:sz w:val="22"/>
          <w:szCs w:val="22"/>
        </w:rPr>
        <w:t>analyzing</w:t>
      </w:r>
      <w:proofErr w:type="spellEnd"/>
      <w:r w:rsidRPr="00A05948">
        <w:rPr>
          <w:rFonts w:ascii="Garamond" w:hAnsi="Garamond"/>
          <w:sz w:val="22"/>
          <w:szCs w:val="22"/>
        </w:rPr>
        <w:t xml:space="preserve"> access to justice, legal sociology enables legal institutions to determine whether legal rules achieve their intended objectives. Since the study does not employ quantitative hypotheses, no hypothesis is accepted or rejected. Instead, the findings provide direct conceptual answers to the three research questions and establish the analytical relationship between legal sociology and social justice.</w:t>
      </w:r>
    </w:p>
    <w:p w14:paraId="6D7FDC25" w14:textId="77777777" w:rsidR="00A05948" w:rsidRPr="00A05948" w:rsidRDefault="00A05948" w:rsidP="00A05948">
      <w:pPr>
        <w:pStyle w:val="Heading3"/>
        <w:spacing w:before="0" w:line="276" w:lineRule="auto"/>
        <w:ind w:firstLine="567"/>
        <w:jc w:val="both"/>
        <w:rPr>
          <w:rFonts w:ascii="Garamond" w:hAnsi="Garamond"/>
          <w:b w:val="0"/>
          <w:bCs w:val="0"/>
          <w:color w:val="002060"/>
          <w:sz w:val="22"/>
          <w:szCs w:val="22"/>
        </w:rPr>
      </w:pPr>
    </w:p>
    <w:p w14:paraId="532FBDA1" w14:textId="68993688" w:rsidR="00A05948" w:rsidRPr="00A05948" w:rsidRDefault="00A05948" w:rsidP="003A6CA3">
      <w:pPr>
        <w:pStyle w:val="Heading3"/>
        <w:numPr>
          <w:ilvl w:val="2"/>
          <w:numId w:val="39"/>
        </w:numPr>
        <w:spacing w:before="0" w:line="276" w:lineRule="auto"/>
        <w:ind w:left="567" w:hanging="578"/>
        <w:jc w:val="both"/>
        <w:rPr>
          <w:rFonts w:ascii="Garamond" w:hAnsi="Garamond"/>
          <w:b w:val="0"/>
          <w:bCs w:val="0"/>
          <w:color w:val="002060"/>
          <w:sz w:val="22"/>
          <w:szCs w:val="22"/>
        </w:rPr>
      </w:pPr>
      <w:r w:rsidRPr="00A05948">
        <w:rPr>
          <w:rFonts w:ascii="Garamond" w:hAnsi="Garamond"/>
          <w:b w:val="0"/>
          <w:bCs w:val="0"/>
          <w:color w:val="002060"/>
          <w:sz w:val="22"/>
          <w:szCs w:val="22"/>
        </w:rPr>
        <w:t>Comparison with Previous Studies</w:t>
      </w:r>
    </w:p>
    <w:p w14:paraId="698AA14D"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findings are consistent with recent scholarship emphasizing that people's relationships with law cannot be understood solely through formal legal rules. Horák et al. (2021), in their systematic review of legal consciousness, demonstrate that the relationship between individuals and law encompasses knowledge, attitudes, skills, trust, identity, and </w:t>
      </w:r>
      <w:proofErr w:type="spellStart"/>
      <w:r w:rsidRPr="00A05948">
        <w:rPr>
          <w:rFonts w:ascii="Garamond" w:hAnsi="Garamond"/>
          <w:sz w:val="22"/>
          <w:szCs w:val="22"/>
        </w:rPr>
        <w:t>behavioral</w:t>
      </w:r>
      <w:proofErr w:type="spellEnd"/>
      <w:r w:rsidRPr="00A05948">
        <w:rPr>
          <w:rFonts w:ascii="Garamond" w:hAnsi="Garamond"/>
          <w:sz w:val="22"/>
          <w:szCs w:val="22"/>
        </w:rPr>
        <w:t xml:space="preserve"> dimensions. This supports the present finding that the effectiveness of law is influenced by how society understands and experiences legal norms.</w:t>
      </w:r>
    </w:p>
    <w:p w14:paraId="065B02AF"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The present study extends this perspective by placing legal consciousness within a broader social justice framework. While Horák et al. (2021) primarily focus on the conceptualization and measurement of legal consciousness, the present study connects the social experience of law to access to justice, protection of vulnerable groups, and substantive social justice. Thus, the contribution of the present study lies in integrating dimensions that are frequently examined separately in the literature.</w:t>
      </w:r>
    </w:p>
    <w:p w14:paraId="6C82A2C7"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findings are also consistent with Young and </w:t>
      </w:r>
      <w:proofErr w:type="spellStart"/>
      <w:r w:rsidRPr="00A05948">
        <w:rPr>
          <w:rFonts w:ascii="Garamond" w:hAnsi="Garamond"/>
          <w:sz w:val="22"/>
          <w:szCs w:val="22"/>
        </w:rPr>
        <w:t>Chimowitz</w:t>
      </w:r>
      <w:proofErr w:type="spellEnd"/>
      <w:r w:rsidRPr="00A05948">
        <w:rPr>
          <w:rFonts w:ascii="Garamond" w:hAnsi="Garamond"/>
          <w:sz w:val="22"/>
          <w:szCs w:val="22"/>
        </w:rPr>
        <w:t xml:space="preserve"> (2022), who demonstrate that legal </w:t>
      </w:r>
      <w:r w:rsidRPr="00A05948">
        <w:rPr>
          <w:rFonts w:ascii="Garamond" w:hAnsi="Garamond"/>
          <w:sz w:val="22"/>
          <w:szCs w:val="22"/>
        </w:rPr>
        <w:t>consciousness operates within institutional relationships and can influence how legal actors evaluate individuals. Their study shows that legal outcomes may be shaped by institutional perceptions and social understandings rather than by legal rules alone. The present study reaches a complementary conclusion by demonstrating that institutional practices, social structures, and power relations should be considered when evaluating whether law produces substantively just outcomes.</w:t>
      </w:r>
    </w:p>
    <w:p w14:paraId="6AAB96C4"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Similarly, </w:t>
      </w:r>
      <w:proofErr w:type="spellStart"/>
      <w:r w:rsidRPr="00A05948">
        <w:rPr>
          <w:rFonts w:ascii="Garamond" w:hAnsi="Garamond"/>
          <w:sz w:val="22"/>
          <w:szCs w:val="22"/>
        </w:rPr>
        <w:t>Hilbink</w:t>
      </w:r>
      <w:proofErr w:type="spellEnd"/>
      <w:r w:rsidRPr="00A05948">
        <w:rPr>
          <w:rFonts w:ascii="Garamond" w:hAnsi="Garamond"/>
          <w:sz w:val="22"/>
          <w:szCs w:val="22"/>
        </w:rPr>
        <w:t xml:space="preserve"> and Salas Ramos (2024) found that legal consciousness and individuals' knowledge of available remedies influence willingness to pursue formal responses to rights violations. This finding supports the present study's emphasis on legal awareness and access to justice. However, the present study extends the discussion beyond individual willingness to seek remedies by considering access to justice as part of a broader socio-legal process involving institutional accessibility, affordability, </w:t>
      </w:r>
      <w:proofErr w:type="spellStart"/>
      <w:r w:rsidRPr="00A05948">
        <w:rPr>
          <w:rFonts w:ascii="Garamond" w:hAnsi="Garamond"/>
          <w:sz w:val="22"/>
          <w:szCs w:val="22"/>
        </w:rPr>
        <w:t>nondiscrimination</w:t>
      </w:r>
      <w:proofErr w:type="spellEnd"/>
      <w:r w:rsidRPr="00A05948">
        <w:rPr>
          <w:rFonts w:ascii="Garamond" w:hAnsi="Garamond"/>
          <w:sz w:val="22"/>
          <w:szCs w:val="22"/>
        </w:rPr>
        <w:t>, and protection of vulnerable groups.</w:t>
      </w:r>
    </w:p>
    <w:p w14:paraId="53C3BB63"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findings concerning vulnerable groups are also consistent with research on access to justice in Indonesia. </w:t>
      </w:r>
      <w:proofErr w:type="spellStart"/>
      <w:r w:rsidRPr="00A05948">
        <w:rPr>
          <w:rFonts w:ascii="Garamond" w:hAnsi="Garamond"/>
          <w:sz w:val="22"/>
          <w:szCs w:val="22"/>
        </w:rPr>
        <w:t>Hijriani</w:t>
      </w:r>
      <w:proofErr w:type="spellEnd"/>
      <w:r w:rsidRPr="00A05948">
        <w:rPr>
          <w:rFonts w:ascii="Garamond" w:hAnsi="Garamond"/>
          <w:sz w:val="22"/>
          <w:szCs w:val="22"/>
        </w:rPr>
        <w:t xml:space="preserve"> and Hasima (2022) demonstrate that vulnerable groups continue to encounter barriers to effective legal protection. </w:t>
      </w:r>
      <w:proofErr w:type="spellStart"/>
      <w:r w:rsidRPr="00A05948">
        <w:rPr>
          <w:rFonts w:ascii="Garamond" w:hAnsi="Garamond"/>
          <w:sz w:val="22"/>
          <w:szCs w:val="22"/>
        </w:rPr>
        <w:t>Paikah</w:t>
      </w:r>
      <w:proofErr w:type="spellEnd"/>
      <w:r w:rsidRPr="00A05948">
        <w:rPr>
          <w:rFonts w:ascii="Garamond" w:hAnsi="Garamond"/>
          <w:sz w:val="22"/>
          <w:szCs w:val="22"/>
        </w:rPr>
        <w:t xml:space="preserve"> (2023) similarly highlights the continuing challenges faced by persons with disabilities in accessing inclusive legal services. These studies support the present finding that formal recognition of equality does not necessarily guarantee equal practical access to justice.</w:t>
      </w:r>
    </w:p>
    <w:p w14:paraId="16F8AB2B"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present study also corresponds with </w:t>
      </w:r>
      <w:proofErr w:type="spellStart"/>
      <w:r w:rsidRPr="00A05948">
        <w:rPr>
          <w:rFonts w:ascii="Garamond" w:hAnsi="Garamond"/>
          <w:sz w:val="22"/>
          <w:szCs w:val="22"/>
        </w:rPr>
        <w:t>Suhariyanto</w:t>
      </w:r>
      <w:proofErr w:type="spellEnd"/>
      <w:r w:rsidRPr="00A05948">
        <w:rPr>
          <w:rFonts w:ascii="Garamond" w:hAnsi="Garamond"/>
          <w:sz w:val="22"/>
          <w:szCs w:val="22"/>
        </w:rPr>
        <w:t xml:space="preserve"> and Mustafa (2022), who emphasize the importance of legal aid mechanisms in Indonesian courts as a means of improving access to justice. While their analysis focuses more specifically on legal aid and institutional mechanisms, the present study places legal aid within the wider function of legal sociology. From this perspective, legal assistance represents one practical mechanism through which the socio-legal gap between formal rights and actual access can be reduced.</w:t>
      </w:r>
    </w:p>
    <w:p w14:paraId="5CCB612B"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findings further support Umairy's (2024) argument that legal sociology can contribute to the development of justice-oriented law by considering social facts, community </w:t>
      </w:r>
      <w:proofErr w:type="spellStart"/>
      <w:r w:rsidRPr="00A05948">
        <w:rPr>
          <w:rFonts w:ascii="Garamond" w:hAnsi="Garamond"/>
          <w:sz w:val="22"/>
          <w:szCs w:val="22"/>
        </w:rPr>
        <w:t>behavior</w:t>
      </w:r>
      <w:proofErr w:type="spellEnd"/>
      <w:r w:rsidRPr="00A05948">
        <w:rPr>
          <w:rFonts w:ascii="Garamond" w:hAnsi="Garamond"/>
          <w:sz w:val="22"/>
          <w:szCs w:val="22"/>
        </w:rPr>
        <w:t xml:space="preserve">, living norms, and the circumstances of vulnerable groups. The present study extends this argument by organizing these </w:t>
      </w:r>
      <w:r w:rsidRPr="00A05948">
        <w:rPr>
          <w:rFonts w:ascii="Garamond" w:hAnsi="Garamond"/>
          <w:sz w:val="22"/>
          <w:szCs w:val="22"/>
        </w:rPr>
        <w:lastRenderedPageBreak/>
        <w:t>dimensions into five interconnected functions of legal sociology: understanding social conditions, protecting vulnerable groups, improving access to justice, evaluating legal effectiveness, and bridging state law with social values.</w:t>
      </w:r>
    </w:p>
    <w:p w14:paraId="015B9294"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Overall, the comparison demonstrates substantial consistency between the findings of this study and recent socio-legal scholarship. The principal difference lies in the integrative focus of the present study. Rather than examining legal consciousness, legal aid, vulnerable groups, or institutional practices independently, the study brings these dimensions together to explain how legal sociology can contribute to substantive social justice.</w:t>
      </w:r>
    </w:p>
    <w:p w14:paraId="25D13CF3" w14:textId="77777777" w:rsidR="00A05948" w:rsidRDefault="00A05948" w:rsidP="00A05948">
      <w:pPr>
        <w:pStyle w:val="Heading3"/>
        <w:spacing w:before="0" w:line="276" w:lineRule="auto"/>
        <w:jc w:val="both"/>
        <w:rPr>
          <w:rFonts w:ascii="Garamond" w:hAnsi="Garamond"/>
          <w:sz w:val="22"/>
          <w:szCs w:val="22"/>
        </w:rPr>
      </w:pPr>
    </w:p>
    <w:p w14:paraId="3112F715" w14:textId="645DFE68" w:rsidR="00A05948" w:rsidRPr="00A05948" w:rsidRDefault="00A05948" w:rsidP="003A6CA3">
      <w:pPr>
        <w:pStyle w:val="Heading3"/>
        <w:numPr>
          <w:ilvl w:val="2"/>
          <w:numId w:val="39"/>
        </w:numPr>
        <w:spacing w:before="0" w:line="276" w:lineRule="auto"/>
        <w:ind w:left="567" w:hanging="578"/>
        <w:jc w:val="both"/>
        <w:rPr>
          <w:rFonts w:ascii="Garamond" w:hAnsi="Garamond"/>
          <w:b w:val="0"/>
          <w:bCs w:val="0"/>
          <w:color w:val="002060"/>
          <w:sz w:val="22"/>
          <w:szCs w:val="22"/>
        </w:rPr>
      </w:pPr>
      <w:r w:rsidRPr="00A05948">
        <w:rPr>
          <w:rFonts w:ascii="Garamond" w:hAnsi="Garamond"/>
          <w:b w:val="0"/>
          <w:bCs w:val="0"/>
          <w:color w:val="002060"/>
          <w:sz w:val="22"/>
          <w:szCs w:val="22"/>
        </w:rPr>
        <w:t>Theoretical Contributions</w:t>
      </w:r>
    </w:p>
    <w:p w14:paraId="7347DCB0" w14:textId="23027B9B"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The study makes several theoretical contributions to the development of legal sociology and socio-legal scholarship.</w:t>
      </w:r>
      <w:r>
        <w:rPr>
          <w:rFonts w:ascii="Garamond" w:hAnsi="Garamond"/>
          <w:sz w:val="22"/>
          <w:szCs w:val="22"/>
        </w:rPr>
        <w:t xml:space="preserve"> </w:t>
      </w:r>
      <w:r w:rsidRPr="00A05948">
        <w:rPr>
          <w:rFonts w:ascii="Garamond" w:hAnsi="Garamond"/>
          <w:sz w:val="22"/>
          <w:szCs w:val="22"/>
        </w:rPr>
        <w:t xml:space="preserve">First, it reinforces the theoretical proposition that law is simultaneously a normative system and a social institution. The findings demonstrate that the meaning and effectiveness of legal norms are shaped by the social context in which they operate. This strengthens the socio-legal understanding of law as a dynamic institution that interacts continuously with social structures and </w:t>
      </w:r>
      <w:proofErr w:type="spellStart"/>
      <w:r w:rsidRPr="00A05948">
        <w:rPr>
          <w:rFonts w:ascii="Garamond" w:hAnsi="Garamond"/>
          <w:sz w:val="22"/>
          <w:szCs w:val="22"/>
        </w:rPr>
        <w:t>behavioral</w:t>
      </w:r>
      <w:proofErr w:type="spellEnd"/>
      <w:r w:rsidRPr="00A05948">
        <w:rPr>
          <w:rFonts w:ascii="Garamond" w:hAnsi="Garamond"/>
          <w:sz w:val="22"/>
          <w:szCs w:val="22"/>
        </w:rPr>
        <w:t xml:space="preserve"> patterns.</w:t>
      </w:r>
      <w:r>
        <w:rPr>
          <w:rFonts w:ascii="Garamond" w:hAnsi="Garamond"/>
          <w:sz w:val="22"/>
          <w:szCs w:val="22"/>
        </w:rPr>
        <w:t xml:space="preserve"> </w:t>
      </w:r>
      <w:r w:rsidRPr="00A05948">
        <w:rPr>
          <w:rFonts w:ascii="Garamond" w:hAnsi="Garamond"/>
          <w:sz w:val="22"/>
          <w:szCs w:val="22"/>
        </w:rPr>
        <w:t xml:space="preserve">Second, the study extends the distinction between </w:t>
      </w:r>
      <w:r w:rsidRPr="00A05948">
        <w:rPr>
          <w:rStyle w:val="Emphasis"/>
          <w:rFonts w:ascii="Garamond" w:hAnsi="Garamond"/>
          <w:sz w:val="22"/>
          <w:szCs w:val="22"/>
        </w:rPr>
        <w:t>law in the books</w:t>
      </w:r>
      <w:r w:rsidRPr="00A05948">
        <w:rPr>
          <w:rFonts w:ascii="Garamond" w:hAnsi="Garamond"/>
          <w:sz w:val="22"/>
          <w:szCs w:val="22"/>
        </w:rPr>
        <w:t xml:space="preserve"> and </w:t>
      </w:r>
      <w:r w:rsidRPr="00A05948">
        <w:rPr>
          <w:rStyle w:val="Emphasis"/>
          <w:rFonts w:ascii="Garamond" w:hAnsi="Garamond"/>
          <w:sz w:val="22"/>
          <w:szCs w:val="22"/>
        </w:rPr>
        <w:t>law in action</w:t>
      </w:r>
      <w:r w:rsidRPr="00A05948">
        <w:rPr>
          <w:rFonts w:ascii="Garamond" w:hAnsi="Garamond"/>
          <w:sz w:val="22"/>
          <w:szCs w:val="22"/>
        </w:rPr>
        <w:t xml:space="preserve"> by explicitly connecting this distinction to social justice. The existence of legal guarantees does not necessarily ensure substantive justice because implementation may be influenced by social inequality, institutional capacity, legal awareness, and power relations. The theoretical implication is that the evaluation of legal effectiveness should incorporate not only normative validity but also social consequences and accessibility.</w:t>
      </w:r>
      <w:r>
        <w:rPr>
          <w:rFonts w:ascii="Garamond" w:hAnsi="Garamond"/>
          <w:sz w:val="22"/>
          <w:szCs w:val="22"/>
        </w:rPr>
        <w:t xml:space="preserve"> </w:t>
      </w:r>
      <w:r w:rsidRPr="00A05948">
        <w:rPr>
          <w:rFonts w:ascii="Garamond" w:hAnsi="Garamond"/>
          <w:sz w:val="22"/>
          <w:szCs w:val="22"/>
        </w:rPr>
        <w:t>Third, the study contributes to the conceptualization of social justice by emphasizing the relationship between formal equality and substantive equality. From the findings, social justice requires legal institutions to recognize differences in social and economic circumstances when determining how legal rights can be meaningfully exercised. This perspective provides a stronger theoretical basis for understanding why the protection of vulnerable groups is compatible with, rather than contrary to, the principle of equality.</w:t>
      </w:r>
      <w:r>
        <w:rPr>
          <w:rFonts w:ascii="Garamond" w:hAnsi="Garamond"/>
          <w:sz w:val="22"/>
          <w:szCs w:val="22"/>
        </w:rPr>
        <w:t xml:space="preserve"> </w:t>
      </w:r>
      <w:r w:rsidRPr="00A05948">
        <w:rPr>
          <w:rFonts w:ascii="Garamond" w:hAnsi="Garamond"/>
          <w:sz w:val="22"/>
          <w:szCs w:val="22"/>
        </w:rPr>
        <w:t xml:space="preserve">Fourth, the study positions legal sociology as a </w:t>
      </w:r>
      <w:r w:rsidRPr="00A05948">
        <w:rPr>
          <w:rStyle w:val="Strong"/>
          <w:rFonts w:ascii="Garamond" w:hAnsi="Garamond"/>
          <w:b w:val="0"/>
          <w:bCs w:val="0"/>
          <w:sz w:val="22"/>
          <w:szCs w:val="22"/>
        </w:rPr>
        <w:t>bridging framework</w:t>
      </w:r>
      <w:r w:rsidRPr="00A05948">
        <w:rPr>
          <w:rFonts w:ascii="Garamond" w:hAnsi="Garamond"/>
          <w:sz w:val="22"/>
          <w:szCs w:val="22"/>
        </w:rPr>
        <w:t xml:space="preserve"> connecting legal norms, social conditions, law in action, access to justice, and social justice. This integrated framework expands the analytical role of legal sociology from describing the interaction between law and society toward explaining how that interaction can be directed toward more inclusive and substantively just legal outcomes.</w:t>
      </w:r>
    </w:p>
    <w:p w14:paraId="66FBD097" w14:textId="77777777" w:rsidR="00A05948" w:rsidRDefault="00A05948" w:rsidP="00A05948">
      <w:pPr>
        <w:pStyle w:val="Heading3"/>
        <w:spacing w:before="0" w:line="276" w:lineRule="auto"/>
        <w:ind w:firstLine="567"/>
        <w:jc w:val="both"/>
        <w:rPr>
          <w:rFonts w:ascii="Garamond" w:hAnsi="Garamond"/>
          <w:sz w:val="22"/>
          <w:szCs w:val="22"/>
        </w:rPr>
      </w:pPr>
    </w:p>
    <w:p w14:paraId="26EA44F3" w14:textId="31DBE897" w:rsidR="00A05948" w:rsidRPr="00A05948" w:rsidRDefault="00A05948" w:rsidP="003A6CA3">
      <w:pPr>
        <w:pStyle w:val="Heading3"/>
        <w:numPr>
          <w:ilvl w:val="2"/>
          <w:numId w:val="39"/>
        </w:numPr>
        <w:spacing w:before="0" w:line="276" w:lineRule="auto"/>
        <w:ind w:left="567" w:hanging="567"/>
        <w:jc w:val="both"/>
        <w:rPr>
          <w:rFonts w:ascii="Garamond" w:hAnsi="Garamond"/>
          <w:b w:val="0"/>
          <w:bCs w:val="0"/>
          <w:color w:val="002060"/>
          <w:sz w:val="22"/>
          <w:szCs w:val="22"/>
        </w:rPr>
      </w:pPr>
      <w:r w:rsidRPr="00A05948">
        <w:rPr>
          <w:rFonts w:ascii="Garamond" w:hAnsi="Garamond"/>
          <w:b w:val="0"/>
          <w:bCs w:val="0"/>
          <w:color w:val="002060"/>
          <w:sz w:val="22"/>
          <w:szCs w:val="22"/>
        </w:rPr>
        <w:t>Practical and Policy Implications</w:t>
      </w:r>
    </w:p>
    <w:p w14:paraId="38EEA2AF" w14:textId="09636AD9"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The findings have direct implications for legislators and policymakers. First, lawmaking should incorporate systematic consideration of social conditions before and after the enactment of legislation. Legal impact assessments should consider how proposed rules may affect groups with different economic, educational, cultural, and social circumstances.</w:t>
      </w:r>
      <w:r>
        <w:rPr>
          <w:rFonts w:ascii="Garamond" w:hAnsi="Garamond"/>
          <w:sz w:val="22"/>
          <w:szCs w:val="22"/>
        </w:rPr>
        <w:t xml:space="preserve"> </w:t>
      </w:r>
      <w:r w:rsidRPr="00A05948">
        <w:rPr>
          <w:rFonts w:ascii="Garamond" w:hAnsi="Garamond"/>
          <w:sz w:val="22"/>
          <w:szCs w:val="22"/>
        </w:rPr>
        <w:t xml:space="preserve">Second, legal institutions should strengthen mechanisms for protecting vulnerable groups. Legal equality should be accompanied by accessible legal assistance, simplified procedures, reasonable costs, and </w:t>
      </w:r>
      <w:proofErr w:type="spellStart"/>
      <w:r w:rsidRPr="00A05948">
        <w:rPr>
          <w:rFonts w:ascii="Garamond" w:hAnsi="Garamond"/>
          <w:sz w:val="22"/>
          <w:szCs w:val="22"/>
        </w:rPr>
        <w:t>nondiscriminatory</w:t>
      </w:r>
      <w:proofErr w:type="spellEnd"/>
      <w:r w:rsidRPr="00A05948">
        <w:rPr>
          <w:rFonts w:ascii="Garamond" w:hAnsi="Garamond"/>
          <w:sz w:val="22"/>
          <w:szCs w:val="22"/>
        </w:rPr>
        <w:t xml:space="preserve"> services. Particular attention should be directed toward groups that face structural barriers to legal protection, including economically disadvantaged communities, children, women, and persons with disabilities.</w:t>
      </w:r>
      <w:r>
        <w:rPr>
          <w:rFonts w:ascii="Garamond" w:hAnsi="Garamond"/>
          <w:sz w:val="22"/>
          <w:szCs w:val="22"/>
        </w:rPr>
        <w:t xml:space="preserve"> </w:t>
      </w:r>
      <w:r w:rsidRPr="00A05948">
        <w:rPr>
          <w:rFonts w:ascii="Garamond" w:hAnsi="Garamond"/>
          <w:sz w:val="22"/>
          <w:szCs w:val="22"/>
        </w:rPr>
        <w:t>Third, law enforcement institutions should evaluate legal effectiveness not only through compliance rates or procedural completion but also through the extent to which people perceive legal institutions as accessible, fair, and responsive. This requires mechanisms for receiving public feedback and identifying gaps between formal legal provisions and their implementation.</w:t>
      </w:r>
      <w:r>
        <w:rPr>
          <w:rFonts w:ascii="Garamond" w:hAnsi="Garamond"/>
          <w:sz w:val="22"/>
          <w:szCs w:val="22"/>
        </w:rPr>
        <w:t xml:space="preserve"> </w:t>
      </w:r>
      <w:r w:rsidRPr="00A05948">
        <w:rPr>
          <w:rFonts w:ascii="Garamond" w:hAnsi="Garamond"/>
          <w:sz w:val="22"/>
          <w:szCs w:val="22"/>
        </w:rPr>
        <w:t xml:space="preserve">Fourth, policymakers should strengthen legal education and public legal </w:t>
      </w:r>
      <w:proofErr w:type="spellStart"/>
      <w:r w:rsidRPr="00A05948">
        <w:rPr>
          <w:rFonts w:ascii="Garamond" w:hAnsi="Garamond"/>
          <w:sz w:val="22"/>
          <w:szCs w:val="22"/>
        </w:rPr>
        <w:t>counseling</w:t>
      </w:r>
      <w:proofErr w:type="spellEnd"/>
      <w:r w:rsidRPr="00A05948">
        <w:rPr>
          <w:rFonts w:ascii="Garamond" w:hAnsi="Garamond"/>
          <w:sz w:val="22"/>
          <w:szCs w:val="22"/>
        </w:rPr>
        <w:t>. The findings indicate that legal awareness constitutes an important component of access to justice. Communities need sufficient knowledge of their rights, obligations, available legal remedies, and relevant legal institutions to participate effectively in the legal system.</w:t>
      </w:r>
      <w:r>
        <w:rPr>
          <w:rFonts w:ascii="Garamond" w:hAnsi="Garamond"/>
          <w:sz w:val="22"/>
          <w:szCs w:val="22"/>
        </w:rPr>
        <w:t xml:space="preserve"> </w:t>
      </w:r>
      <w:r w:rsidRPr="00A05948">
        <w:rPr>
          <w:rFonts w:ascii="Garamond" w:hAnsi="Garamond"/>
          <w:sz w:val="22"/>
          <w:szCs w:val="22"/>
        </w:rPr>
        <w:t>Fifth, legal development should consider legitimate social values and cultural conditions without compromising fundamental principles of equality, justice, and rights protection. This approach can reduce tensions between formal state law and social expectations while strengthening public acceptance of legal institutions.</w:t>
      </w:r>
    </w:p>
    <w:p w14:paraId="0D6240A3" w14:textId="77777777" w:rsidR="00A05948" w:rsidRPr="00A05948" w:rsidRDefault="00A05948" w:rsidP="00A05948">
      <w:pPr>
        <w:pStyle w:val="Heading3"/>
        <w:spacing w:before="0" w:line="276" w:lineRule="auto"/>
        <w:jc w:val="both"/>
        <w:rPr>
          <w:rFonts w:ascii="Garamond" w:hAnsi="Garamond"/>
          <w:b w:val="0"/>
          <w:bCs w:val="0"/>
          <w:color w:val="002060"/>
          <w:sz w:val="22"/>
          <w:szCs w:val="22"/>
        </w:rPr>
      </w:pPr>
    </w:p>
    <w:p w14:paraId="35E3EBD7" w14:textId="6935E335" w:rsidR="00A05948" w:rsidRPr="00A05948" w:rsidRDefault="00A05948" w:rsidP="003A6CA3">
      <w:pPr>
        <w:pStyle w:val="Heading3"/>
        <w:numPr>
          <w:ilvl w:val="2"/>
          <w:numId w:val="39"/>
        </w:numPr>
        <w:spacing w:before="0" w:line="276" w:lineRule="auto"/>
        <w:ind w:left="567" w:hanging="578"/>
        <w:jc w:val="both"/>
        <w:rPr>
          <w:rFonts w:ascii="Garamond" w:hAnsi="Garamond"/>
          <w:b w:val="0"/>
          <w:bCs w:val="0"/>
          <w:color w:val="002060"/>
          <w:sz w:val="22"/>
          <w:szCs w:val="22"/>
        </w:rPr>
      </w:pPr>
      <w:r w:rsidRPr="00A05948">
        <w:rPr>
          <w:rFonts w:ascii="Garamond" w:hAnsi="Garamond"/>
          <w:b w:val="0"/>
          <w:bCs w:val="0"/>
          <w:color w:val="002060"/>
          <w:sz w:val="22"/>
          <w:szCs w:val="22"/>
        </w:rPr>
        <w:t>Integration with the Research Gap</w:t>
      </w:r>
    </w:p>
    <w:p w14:paraId="03DB6FE6"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The findings directly address the research gap identified in the literature review. Previous studies have generally examined individual dimensions of the law–society relationship, including legal consciousness, access to justice, legal aid, institutional decision-making, and vulnerable groups. Although these studies provide valuable insights, they do not always integrate these dimensions into a comprehensive explanation of how legal sociology contributes to substantive social justice.</w:t>
      </w:r>
    </w:p>
    <w:p w14:paraId="14608766"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This study addresses that gap by integrating legal norms, social conditions, legal consciousness, law in action, vulnerable groups, access to justice, and social values into a single socio-legal analytical perspective. The resulting framework demonstrates that social justice emerges not simply from the existence of appropriate legal rules but from the interaction between those rules and the social conditions in which they are implemented.</w:t>
      </w:r>
    </w:p>
    <w:p w14:paraId="56371A69"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study therefore contributes an integrated explanation of the pathway from </w:t>
      </w:r>
      <w:r w:rsidRPr="00A05948">
        <w:rPr>
          <w:rStyle w:val="Strong"/>
          <w:rFonts w:ascii="Garamond" w:hAnsi="Garamond"/>
          <w:b w:val="0"/>
          <w:bCs w:val="0"/>
          <w:sz w:val="22"/>
          <w:szCs w:val="22"/>
        </w:rPr>
        <w:t>legal norms → social conditions → law in action → access to justice → social justice</w:t>
      </w:r>
      <w:r w:rsidRPr="00A05948">
        <w:rPr>
          <w:rFonts w:ascii="Garamond" w:hAnsi="Garamond"/>
          <w:sz w:val="22"/>
          <w:szCs w:val="22"/>
        </w:rPr>
        <w:t>. This pathway does not represent a statistically tested causal model but an analytical structure for understanding the mechanisms through which legal sociology can contribute to substantive justice.</w:t>
      </w:r>
    </w:p>
    <w:p w14:paraId="1AFD1D7E"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originality of the study consequently lies in repositioning legal sociology as more than an academic field concerned with describing legal </w:t>
      </w:r>
      <w:proofErr w:type="spellStart"/>
      <w:r w:rsidRPr="00A05948">
        <w:rPr>
          <w:rFonts w:ascii="Garamond" w:hAnsi="Garamond"/>
          <w:sz w:val="22"/>
          <w:szCs w:val="22"/>
        </w:rPr>
        <w:t>behavior</w:t>
      </w:r>
      <w:proofErr w:type="spellEnd"/>
      <w:r w:rsidRPr="00A05948">
        <w:rPr>
          <w:rFonts w:ascii="Garamond" w:hAnsi="Garamond"/>
          <w:sz w:val="22"/>
          <w:szCs w:val="22"/>
        </w:rPr>
        <w:t>. It is presented as a strategic analytical framework for identifying discrepancies between formal law and social reality and for developing legal responses that are more responsive, inclusive, and oriented toward substantive justice.</w:t>
      </w:r>
    </w:p>
    <w:p w14:paraId="08717CD8" w14:textId="77777777" w:rsidR="00A05948" w:rsidRDefault="00A05948" w:rsidP="00A05948">
      <w:pPr>
        <w:pStyle w:val="Heading3"/>
        <w:spacing w:before="0" w:line="276" w:lineRule="auto"/>
        <w:ind w:firstLine="567"/>
        <w:jc w:val="both"/>
        <w:rPr>
          <w:rFonts w:ascii="Garamond" w:hAnsi="Garamond"/>
          <w:sz w:val="22"/>
          <w:szCs w:val="22"/>
        </w:rPr>
      </w:pPr>
    </w:p>
    <w:p w14:paraId="0D0B85C1" w14:textId="46B7EB8B" w:rsidR="003A6CA3" w:rsidRPr="00D31980" w:rsidRDefault="003A6CA3" w:rsidP="003A6CA3">
      <w:pPr>
        <w:pStyle w:val="Heading4"/>
        <w:numPr>
          <w:ilvl w:val="2"/>
          <w:numId w:val="39"/>
        </w:numPr>
        <w:spacing w:before="0" w:line="276" w:lineRule="auto"/>
        <w:ind w:left="567" w:hanging="567"/>
        <w:jc w:val="both"/>
        <w:rPr>
          <w:rFonts w:ascii="Garamond" w:hAnsi="Garamond"/>
          <w:i w:val="0"/>
          <w:iCs w:val="0"/>
          <w:color w:val="002060"/>
          <w:sz w:val="22"/>
          <w:szCs w:val="22"/>
        </w:rPr>
      </w:pPr>
      <w:r w:rsidRPr="00D31980">
        <w:rPr>
          <w:rStyle w:val="Strong"/>
          <w:rFonts w:ascii="Garamond" w:hAnsi="Garamond"/>
          <w:b w:val="0"/>
          <w:bCs w:val="0"/>
          <w:i w:val="0"/>
          <w:iCs w:val="0"/>
          <w:color w:val="002060"/>
          <w:sz w:val="22"/>
          <w:szCs w:val="22"/>
        </w:rPr>
        <w:t>Acknowledgement of</w:t>
      </w:r>
      <w:r w:rsidRPr="00824144">
        <w:rPr>
          <w:rStyle w:val="Strong"/>
          <w:rFonts w:ascii="Garamond" w:hAnsi="Garamond"/>
          <w:b w:val="0"/>
          <w:bCs w:val="0"/>
          <w:color w:val="002060"/>
          <w:sz w:val="22"/>
          <w:szCs w:val="22"/>
        </w:rPr>
        <w:t xml:space="preserve"> </w:t>
      </w:r>
      <w:r w:rsidRPr="00D31980">
        <w:rPr>
          <w:rFonts w:ascii="Garamond" w:hAnsi="Garamond"/>
          <w:i w:val="0"/>
          <w:iCs w:val="0"/>
          <w:color w:val="002060"/>
          <w:sz w:val="22"/>
          <w:szCs w:val="22"/>
        </w:rPr>
        <w:t>Study Limitations</w:t>
      </w:r>
    </w:p>
    <w:p w14:paraId="3D98E7AE" w14:textId="4AC4A907" w:rsidR="00F8470F" w:rsidRPr="00E66DF9" w:rsidRDefault="00A05948" w:rsidP="00E66DF9">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The interpretation of the findings should be understood within the conceptual and normative scope of the study. Because the analysis focuses on legal concepts, doctrines, and socio-legal perspectives, the findings do not establish the magnitude of the effects of particular social factors on legal outcomes in specific populations.</w:t>
      </w:r>
      <w:r>
        <w:rPr>
          <w:rFonts w:ascii="Garamond" w:hAnsi="Garamond"/>
          <w:sz w:val="22"/>
          <w:szCs w:val="22"/>
        </w:rPr>
        <w:t xml:space="preserve"> </w:t>
      </w:r>
      <w:r w:rsidRPr="00A05948">
        <w:rPr>
          <w:rFonts w:ascii="Garamond" w:hAnsi="Garamond"/>
          <w:sz w:val="22"/>
          <w:szCs w:val="22"/>
        </w:rPr>
        <w:t xml:space="preserve">The discussion also treats social justice as a multidimensional concept. Its realization may differ according to social, cultural, economic, and </w:t>
      </w:r>
      <w:r w:rsidRPr="00A05948">
        <w:rPr>
          <w:rFonts w:ascii="Garamond" w:hAnsi="Garamond"/>
          <w:sz w:val="22"/>
          <w:szCs w:val="22"/>
        </w:rPr>
        <w:t>institutional contexts. Consequently, the five roles identified in this study should not be interpreted as a universal or exhaustive list of all mechanisms through which legal sociology may contribute to social justice.</w:t>
      </w:r>
      <w:r>
        <w:rPr>
          <w:rFonts w:ascii="Garamond" w:hAnsi="Garamond"/>
          <w:sz w:val="22"/>
          <w:szCs w:val="22"/>
        </w:rPr>
        <w:t xml:space="preserve"> </w:t>
      </w:r>
      <w:r w:rsidRPr="00A05948">
        <w:rPr>
          <w:rFonts w:ascii="Garamond" w:hAnsi="Garamond"/>
          <w:sz w:val="22"/>
          <w:szCs w:val="22"/>
        </w:rPr>
        <w:t>In addition, the discussion primarily establishes a conceptual relationship between legal sociology and social justice rather than documenting the lived experiences of particular communities. Future research can therefore complement the present findings through empirical socio-legal studies examining how communities, vulnerable groups, legal practitioners, and law enforcement institutions experience the implementation of legal norms.</w:t>
      </w:r>
      <w:r>
        <w:rPr>
          <w:rFonts w:ascii="Garamond" w:hAnsi="Garamond"/>
          <w:sz w:val="22"/>
          <w:szCs w:val="22"/>
        </w:rPr>
        <w:t xml:space="preserve"> </w:t>
      </w:r>
      <w:r w:rsidRPr="00A05948">
        <w:rPr>
          <w:rFonts w:ascii="Garamond" w:hAnsi="Garamond"/>
          <w:sz w:val="22"/>
          <w:szCs w:val="22"/>
        </w:rPr>
        <w:t>Despite these limitations, the findings provide a coherent conceptual basis for understanding the relationship between law and society. The study demonstrates that achieving social justice requires more than formal legal regulation; it requires attention to the social conditions, institutional practices, legal awareness, and power relations that shape the operation of law. Legal sociology therefore remains an important framework for developing law that is responsive to society and capable of advancing substantive social justice.</w:t>
      </w:r>
    </w:p>
    <w:p w14:paraId="2DFCE490" w14:textId="3DDD5AFA" w:rsidR="00F8470F" w:rsidRPr="00824144" w:rsidRDefault="00F8470F" w:rsidP="00F8470F">
      <w:pPr>
        <w:pStyle w:val="Heading1"/>
        <w:numPr>
          <w:ilvl w:val="0"/>
          <w:numId w:val="2"/>
        </w:numPr>
        <w:suppressAutoHyphens/>
        <w:spacing w:line="276" w:lineRule="auto"/>
        <w:ind w:left="274" w:hanging="274"/>
        <w:rPr>
          <w:rFonts w:ascii="Garamond" w:hAnsi="Garamond"/>
          <w:i w:val="0"/>
          <w:color w:val="0070C0"/>
          <w:sz w:val="22"/>
          <w:szCs w:val="22"/>
        </w:rPr>
      </w:pPr>
      <w:proofErr w:type="spellStart"/>
      <w:r w:rsidRPr="00A05948">
        <w:rPr>
          <w:rFonts w:ascii="Garamond" w:hAnsi="Garamond"/>
          <w:i w:val="0"/>
          <w:color w:val="002060"/>
          <w:sz w:val="22"/>
          <w:szCs w:val="22"/>
          <w:lang w:val="id-ID"/>
        </w:rPr>
        <w:t>Conclusion</w:t>
      </w:r>
      <w:proofErr w:type="spellEnd"/>
      <w:r w:rsidRPr="00824144">
        <w:rPr>
          <w:rFonts w:ascii="Garamond" w:hAnsi="Garamond"/>
          <w:i w:val="0"/>
          <w:sz w:val="22"/>
          <w:szCs w:val="22"/>
          <w:lang w:val="id-ID"/>
        </w:rPr>
        <w:t xml:space="preserve"> </w:t>
      </w:r>
    </w:p>
    <w:p w14:paraId="6F49EFB0" w14:textId="6FF80B33" w:rsidR="00A05948" w:rsidRPr="00A05948" w:rsidRDefault="00A05948" w:rsidP="00A05948">
      <w:pPr>
        <w:pStyle w:val="Heading3"/>
        <w:spacing w:before="0" w:line="276" w:lineRule="auto"/>
        <w:jc w:val="both"/>
        <w:rPr>
          <w:rFonts w:ascii="Garamond" w:hAnsi="Garamond"/>
          <w:color w:val="000000" w:themeColor="text1"/>
          <w:sz w:val="22"/>
          <w:szCs w:val="22"/>
        </w:rPr>
      </w:pPr>
      <w:r w:rsidRPr="00A05948">
        <w:rPr>
          <w:rFonts w:ascii="Garamond" w:hAnsi="Garamond"/>
          <w:color w:val="000000" w:themeColor="text1"/>
          <w:sz w:val="22"/>
          <w:szCs w:val="22"/>
        </w:rPr>
        <w:t>5.1 Summary of Key Findings</w:t>
      </w:r>
    </w:p>
    <w:p w14:paraId="027D2D86"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color w:val="000000" w:themeColor="text1"/>
          <w:sz w:val="22"/>
          <w:szCs w:val="22"/>
        </w:rPr>
        <w:t xml:space="preserve">This study concludes that </w:t>
      </w:r>
      <w:r w:rsidRPr="00A05948">
        <w:rPr>
          <w:rFonts w:ascii="Garamond" w:hAnsi="Garamond"/>
          <w:sz w:val="22"/>
          <w:szCs w:val="22"/>
        </w:rPr>
        <w:t>law cannot be understood solely as a normative set of rules but must also be understood as part of a social system that develops within society. The findings demonstrate that legal sociology provides an important perspective for examining how law operates in practice (</w:t>
      </w:r>
      <w:r w:rsidRPr="00A05948">
        <w:rPr>
          <w:rStyle w:val="Emphasis"/>
          <w:rFonts w:ascii="Garamond" w:hAnsi="Garamond"/>
          <w:sz w:val="22"/>
          <w:szCs w:val="22"/>
        </w:rPr>
        <w:t>law in action</w:t>
      </w:r>
      <w:r w:rsidRPr="00A05948">
        <w:rPr>
          <w:rFonts w:ascii="Garamond" w:hAnsi="Garamond"/>
          <w:sz w:val="22"/>
          <w:szCs w:val="22"/>
        </w:rPr>
        <w:t xml:space="preserve">) and how its effectiveness and fairness are influenced by social, economic, cultural, and power-related conditions. The study further establishes that legal sociology plays an important role in identifying gaps between formal legal provisions and their implementation, </w:t>
      </w:r>
      <w:proofErr w:type="spellStart"/>
      <w:r w:rsidRPr="00A05948">
        <w:rPr>
          <w:rFonts w:ascii="Garamond" w:hAnsi="Garamond"/>
          <w:sz w:val="22"/>
          <w:szCs w:val="22"/>
        </w:rPr>
        <w:t>analyzing</w:t>
      </w:r>
      <w:proofErr w:type="spellEnd"/>
      <w:r w:rsidRPr="00A05948">
        <w:rPr>
          <w:rFonts w:ascii="Garamond" w:hAnsi="Garamond"/>
          <w:sz w:val="22"/>
          <w:szCs w:val="22"/>
        </w:rPr>
        <w:t xml:space="preserve"> the influence of social structures on law enforcement, and encouraging the development of law that is more responsive to societal needs.</w:t>
      </w:r>
    </w:p>
    <w:p w14:paraId="17482774"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study also demonstrates that law has a role beyond maintaining social order. When implemented responsively, law can function as an instrument for reducing social inequality and protecting vulnerable groups. Social justice can therefore be achieved more effectively when legal implementation considers the actual social conditions of society, is supported by an </w:t>
      </w:r>
      <w:r w:rsidRPr="00A05948">
        <w:rPr>
          <w:rFonts w:ascii="Garamond" w:hAnsi="Garamond"/>
          <w:sz w:val="22"/>
          <w:szCs w:val="22"/>
        </w:rPr>
        <w:lastRenderedPageBreak/>
        <w:t>appropriate legal culture, and is oriented toward substantive justice. In this regard, legal sociology functions as a bridge between legal norms and social realities, enabling law to provide meaningful justice for different segments of society.</w:t>
      </w:r>
    </w:p>
    <w:p w14:paraId="487ED296" w14:textId="77777777" w:rsidR="00A05948" w:rsidRDefault="00A05948" w:rsidP="00A05948">
      <w:pPr>
        <w:pStyle w:val="Heading3"/>
        <w:spacing w:before="0" w:line="276" w:lineRule="auto"/>
        <w:jc w:val="both"/>
        <w:rPr>
          <w:rFonts w:ascii="Garamond" w:hAnsi="Garamond"/>
          <w:sz w:val="22"/>
          <w:szCs w:val="22"/>
        </w:rPr>
      </w:pPr>
    </w:p>
    <w:p w14:paraId="461E4258" w14:textId="475CA6FB" w:rsidR="00A05948" w:rsidRPr="00A05948" w:rsidRDefault="00A05948" w:rsidP="00A05948">
      <w:pPr>
        <w:pStyle w:val="Heading3"/>
        <w:spacing w:before="0" w:line="276" w:lineRule="auto"/>
        <w:jc w:val="both"/>
        <w:rPr>
          <w:rFonts w:ascii="Garamond" w:hAnsi="Garamond"/>
          <w:color w:val="000000" w:themeColor="text1"/>
          <w:sz w:val="22"/>
          <w:szCs w:val="22"/>
        </w:rPr>
      </w:pPr>
      <w:r w:rsidRPr="00A05948">
        <w:rPr>
          <w:rFonts w:ascii="Garamond" w:hAnsi="Garamond"/>
          <w:color w:val="000000" w:themeColor="text1"/>
          <w:sz w:val="22"/>
          <w:szCs w:val="22"/>
        </w:rPr>
        <w:t>5.2 Theoretical Contributions</w:t>
      </w:r>
    </w:p>
    <w:p w14:paraId="11E3F31A"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Theoretically, this study contributes to socio-legal scholarship by reinforcing the understanding of law as both a normative system and a social institution. The findings demonstrate that the effectiveness and fairness of law cannot be adequately assessed by examining legal rules independently from the social context in which they operate.</w:t>
      </w:r>
    </w:p>
    <w:p w14:paraId="70F1EAB5"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study further contributes by connecting the distinction between </w:t>
      </w:r>
      <w:r w:rsidRPr="00A05948">
        <w:rPr>
          <w:rStyle w:val="Emphasis"/>
          <w:rFonts w:ascii="Garamond" w:hAnsi="Garamond"/>
          <w:sz w:val="22"/>
          <w:szCs w:val="22"/>
        </w:rPr>
        <w:t>law in the books</w:t>
      </w:r>
      <w:r w:rsidRPr="00A05948">
        <w:rPr>
          <w:rFonts w:ascii="Garamond" w:hAnsi="Garamond"/>
          <w:sz w:val="22"/>
          <w:szCs w:val="22"/>
        </w:rPr>
        <w:t xml:space="preserve"> and </w:t>
      </w:r>
      <w:r w:rsidRPr="00A05948">
        <w:rPr>
          <w:rStyle w:val="Emphasis"/>
          <w:rFonts w:ascii="Garamond" w:hAnsi="Garamond"/>
          <w:sz w:val="22"/>
          <w:szCs w:val="22"/>
        </w:rPr>
        <w:t>law in action</w:t>
      </w:r>
      <w:r w:rsidRPr="00A05948">
        <w:rPr>
          <w:rFonts w:ascii="Garamond" w:hAnsi="Garamond"/>
          <w:sz w:val="22"/>
          <w:szCs w:val="22"/>
        </w:rPr>
        <w:t xml:space="preserve"> with the realization of social justice. This perspective demonstrates that substantive justice requires consideration of social structures, economic conditions, cultural values, legal awareness, institutional practices, and power relations. Accordingly, legal sociology can be positioned not merely as an analytical discipline for describing the relationship between law and society but also as a conceptual framework for developing more responsive, inclusive, and justice-oriented legal systems.</w:t>
      </w:r>
    </w:p>
    <w:p w14:paraId="6E158ACB" w14:textId="77777777" w:rsidR="00A05948" w:rsidRPr="00A05948" w:rsidRDefault="00A05948" w:rsidP="00A05948">
      <w:pPr>
        <w:pStyle w:val="Heading3"/>
        <w:spacing w:before="0" w:line="276" w:lineRule="auto"/>
        <w:jc w:val="both"/>
        <w:rPr>
          <w:rFonts w:ascii="Garamond" w:hAnsi="Garamond"/>
          <w:color w:val="000000" w:themeColor="text1"/>
          <w:sz w:val="22"/>
          <w:szCs w:val="22"/>
        </w:rPr>
      </w:pPr>
    </w:p>
    <w:p w14:paraId="0BC61FC9" w14:textId="44619172" w:rsidR="00A05948" w:rsidRPr="00A05948" w:rsidRDefault="00A05948" w:rsidP="00A05948">
      <w:pPr>
        <w:pStyle w:val="Heading3"/>
        <w:spacing w:before="0" w:line="276" w:lineRule="auto"/>
        <w:jc w:val="both"/>
        <w:rPr>
          <w:rFonts w:ascii="Garamond" w:hAnsi="Garamond"/>
          <w:color w:val="000000" w:themeColor="text1"/>
          <w:sz w:val="22"/>
          <w:szCs w:val="22"/>
        </w:rPr>
      </w:pPr>
      <w:r w:rsidRPr="00A05948">
        <w:rPr>
          <w:rFonts w:ascii="Garamond" w:hAnsi="Garamond"/>
          <w:color w:val="000000" w:themeColor="text1"/>
          <w:sz w:val="22"/>
          <w:szCs w:val="22"/>
        </w:rPr>
        <w:t>5.3 Practical and Policy Implications</w:t>
      </w:r>
    </w:p>
    <w:p w14:paraId="67EE4B24" w14:textId="659C5A82"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The findings have several practical and policy implications. First, </w:t>
      </w:r>
      <w:r w:rsidRPr="00A05948">
        <w:rPr>
          <w:rStyle w:val="Strong"/>
          <w:rFonts w:ascii="Garamond" w:hAnsi="Garamond"/>
          <w:b w:val="0"/>
          <w:bCs w:val="0"/>
          <w:sz w:val="22"/>
          <w:szCs w:val="22"/>
        </w:rPr>
        <w:t>lawmakers and legislators</w:t>
      </w:r>
      <w:r w:rsidRPr="00A05948">
        <w:rPr>
          <w:rFonts w:ascii="Garamond" w:hAnsi="Garamond"/>
          <w:sz w:val="22"/>
          <w:szCs w:val="22"/>
        </w:rPr>
        <w:t xml:space="preserve"> should consider the social conditions of communities when formulating legislation and regulations. Socio-legal considerations can help ensure that legal rules are responsive to social needs and capable of addressing existing inequalities.</w:t>
      </w:r>
      <w:r>
        <w:rPr>
          <w:rFonts w:ascii="Garamond" w:hAnsi="Garamond"/>
          <w:sz w:val="22"/>
          <w:szCs w:val="22"/>
        </w:rPr>
        <w:t xml:space="preserve"> </w:t>
      </w:r>
      <w:r w:rsidRPr="00A05948">
        <w:rPr>
          <w:rFonts w:ascii="Garamond" w:hAnsi="Garamond"/>
          <w:sz w:val="22"/>
          <w:szCs w:val="22"/>
        </w:rPr>
        <w:t xml:space="preserve">Second, </w:t>
      </w:r>
      <w:r w:rsidRPr="00A05948">
        <w:rPr>
          <w:rStyle w:val="Strong"/>
          <w:rFonts w:ascii="Garamond" w:hAnsi="Garamond"/>
          <w:b w:val="0"/>
          <w:bCs w:val="0"/>
          <w:sz w:val="22"/>
          <w:szCs w:val="22"/>
        </w:rPr>
        <w:t>law enforcement agencies</w:t>
      </w:r>
      <w:r w:rsidRPr="00A05948">
        <w:rPr>
          <w:rFonts w:ascii="Garamond" w:hAnsi="Garamond"/>
          <w:sz w:val="22"/>
          <w:szCs w:val="22"/>
        </w:rPr>
        <w:t xml:space="preserve"> should not focus exclusively on the formal application of legal rules but should also consider substantive justice, particularly when dealing with disadvantaged and vulnerable groups. The implementation of law should take into account the circumstances that may affect an individual's ability to obtain equal legal protection.</w:t>
      </w:r>
      <w:r>
        <w:rPr>
          <w:rFonts w:ascii="Garamond" w:hAnsi="Garamond"/>
          <w:sz w:val="22"/>
          <w:szCs w:val="22"/>
        </w:rPr>
        <w:t xml:space="preserve"> </w:t>
      </w:r>
      <w:r w:rsidRPr="00A05948">
        <w:rPr>
          <w:rFonts w:ascii="Garamond" w:hAnsi="Garamond"/>
          <w:sz w:val="22"/>
          <w:szCs w:val="22"/>
        </w:rPr>
        <w:t xml:space="preserve">Third, </w:t>
      </w:r>
      <w:r w:rsidRPr="00A05948">
        <w:rPr>
          <w:rStyle w:val="Strong"/>
          <w:rFonts w:ascii="Garamond" w:hAnsi="Garamond"/>
          <w:b w:val="0"/>
          <w:bCs w:val="0"/>
          <w:sz w:val="22"/>
          <w:szCs w:val="22"/>
        </w:rPr>
        <w:t>government institutions</w:t>
      </w:r>
      <w:r w:rsidRPr="00A05948">
        <w:rPr>
          <w:rFonts w:ascii="Garamond" w:hAnsi="Garamond"/>
          <w:sz w:val="22"/>
          <w:szCs w:val="22"/>
        </w:rPr>
        <w:t xml:space="preserve"> should strengthen legal education, public legal </w:t>
      </w:r>
      <w:proofErr w:type="spellStart"/>
      <w:r w:rsidRPr="00A05948">
        <w:rPr>
          <w:rFonts w:ascii="Garamond" w:hAnsi="Garamond"/>
          <w:sz w:val="22"/>
          <w:szCs w:val="22"/>
        </w:rPr>
        <w:t>counseling</w:t>
      </w:r>
      <w:proofErr w:type="spellEnd"/>
      <w:r w:rsidRPr="00A05948">
        <w:rPr>
          <w:rFonts w:ascii="Garamond" w:hAnsi="Garamond"/>
          <w:sz w:val="22"/>
          <w:szCs w:val="22"/>
        </w:rPr>
        <w:t>, and community empowerment programs. These measures can increase legal awareness and expand meaningful access to justice, particularly among communities that face social or economic barriers.</w:t>
      </w:r>
      <w:r>
        <w:rPr>
          <w:rFonts w:ascii="Garamond" w:hAnsi="Garamond"/>
          <w:sz w:val="22"/>
          <w:szCs w:val="22"/>
        </w:rPr>
        <w:t xml:space="preserve"> </w:t>
      </w:r>
      <w:r w:rsidRPr="00A05948">
        <w:rPr>
          <w:rFonts w:ascii="Garamond" w:hAnsi="Garamond"/>
          <w:sz w:val="22"/>
          <w:szCs w:val="22"/>
        </w:rPr>
        <w:t xml:space="preserve">Fourth, </w:t>
      </w:r>
      <w:r w:rsidRPr="00A05948">
        <w:rPr>
          <w:rStyle w:val="Strong"/>
          <w:rFonts w:ascii="Garamond" w:hAnsi="Garamond"/>
          <w:b w:val="0"/>
          <w:bCs w:val="0"/>
          <w:sz w:val="22"/>
          <w:szCs w:val="22"/>
        </w:rPr>
        <w:t>society</w:t>
      </w:r>
      <w:r w:rsidRPr="00A05948">
        <w:rPr>
          <w:rFonts w:ascii="Garamond" w:hAnsi="Garamond"/>
          <w:b/>
          <w:bCs/>
          <w:sz w:val="22"/>
          <w:szCs w:val="22"/>
        </w:rPr>
        <w:t xml:space="preserve"> </w:t>
      </w:r>
      <w:r w:rsidRPr="00A05948">
        <w:rPr>
          <w:rFonts w:ascii="Garamond" w:hAnsi="Garamond"/>
          <w:sz w:val="22"/>
          <w:szCs w:val="22"/>
        </w:rPr>
        <w:t>should be encouraged to participate actively in understanding and complying with the law while exercising its legal rights through available legal mechanisms. Active public participation can strengthen legal awareness and contribute to a healthier relationship between citizens and legal institutions.</w:t>
      </w:r>
      <w:r>
        <w:rPr>
          <w:rFonts w:ascii="Garamond" w:hAnsi="Garamond"/>
          <w:sz w:val="22"/>
          <w:szCs w:val="22"/>
        </w:rPr>
        <w:t xml:space="preserve"> </w:t>
      </w:r>
      <w:r w:rsidRPr="00A05948">
        <w:rPr>
          <w:rFonts w:ascii="Garamond" w:hAnsi="Garamond"/>
          <w:sz w:val="22"/>
          <w:szCs w:val="22"/>
        </w:rPr>
        <w:t xml:space="preserve">Fifth, </w:t>
      </w:r>
      <w:r w:rsidRPr="00A05948">
        <w:rPr>
          <w:rStyle w:val="Strong"/>
          <w:rFonts w:ascii="Garamond" w:hAnsi="Garamond"/>
          <w:b w:val="0"/>
          <w:bCs w:val="0"/>
          <w:sz w:val="22"/>
          <w:szCs w:val="22"/>
        </w:rPr>
        <w:t>academics and researchers</w:t>
      </w:r>
      <w:r w:rsidRPr="00A05948">
        <w:rPr>
          <w:rFonts w:ascii="Garamond" w:hAnsi="Garamond"/>
          <w:sz w:val="22"/>
          <w:szCs w:val="22"/>
        </w:rPr>
        <w:t xml:space="preserve"> should continue developing legal sociology as an interdisciplinary field that can inform the formulation and evaluation of legal policies. Greater integration between legal analysis and social research can contribute to the development of legal systems that are more inclusive and oriented toward substantive social justice.</w:t>
      </w:r>
    </w:p>
    <w:p w14:paraId="209DB1F6" w14:textId="77777777" w:rsidR="00A05948" w:rsidRDefault="00A05948" w:rsidP="00A05948">
      <w:pPr>
        <w:pStyle w:val="Heading3"/>
        <w:spacing w:before="0" w:line="276" w:lineRule="auto"/>
        <w:jc w:val="both"/>
        <w:rPr>
          <w:rFonts w:ascii="Garamond" w:hAnsi="Garamond"/>
          <w:sz w:val="22"/>
          <w:szCs w:val="22"/>
        </w:rPr>
      </w:pPr>
    </w:p>
    <w:p w14:paraId="3BC59465" w14:textId="3A491454" w:rsidR="00A05948" w:rsidRPr="00A05948" w:rsidRDefault="00A05948" w:rsidP="00A05948">
      <w:pPr>
        <w:pStyle w:val="Heading3"/>
        <w:spacing w:before="0" w:line="276" w:lineRule="auto"/>
        <w:jc w:val="both"/>
        <w:rPr>
          <w:rFonts w:ascii="Garamond" w:hAnsi="Garamond"/>
          <w:sz w:val="22"/>
          <w:szCs w:val="22"/>
        </w:rPr>
      </w:pPr>
      <w:r w:rsidRPr="00A05948">
        <w:rPr>
          <w:rFonts w:ascii="Garamond" w:hAnsi="Garamond"/>
          <w:color w:val="000000" w:themeColor="text1"/>
          <w:sz w:val="22"/>
          <w:szCs w:val="22"/>
        </w:rPr>
        <w:t>5.4 Limitations of the Study</w:t>
      </w:r>
    </w:p>
    <w:p w14:paraId="25DACB3F"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This study has limitations that should be considered when interpreting its findings. The analysis was primarily concerned with legal concepts, socio-legal perspectives, and the relationship between legal norms and social realities. Consequently, the study does not provide quantitative evidence concerning the magnitude of social factors affecting access to justice or the effectiveness of particular legal institutions.</w:t>
      </w:r>
    </w:p>
    <w:p w14:paraId="55B40095" w14:textId="77777777"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In addition, the findings are presented within the context of a normative legal and socio-legal analysis and therefore should not be interpreted as universally applicable to all legal systems or social contexts. Differences in legal institutions, cultural values, socioeconomic conditions, and patterns of law enforcement may produce different manifestations of the relationship between law and social justice.</w:t>
      </w:r>
    </w:p>
    <w:p w14:paraId="72B94A8C" w14:textId="77777777" w:rsidR="00A05948" w:rsidRDefault="00A05948" w:rsidP="00A05948">
      <w:pPr>
        <w:pStyle w:val="Heading3"/>
        <w:spacing w:before="0" w:line="276" w:lineRule="auto"/>
        <w:jc w:val="both"/>
        <w:rPr>
          <w:rFonts w:ascii="Garamond" w:hAnsi="Garamond"/>
          <w:color w:val="000000" w:themeColor="text1"/>
          <w:sz w:val="22"/>
          <w:szCs w:val="22"/>
        </w:rPr>
      </w:pPr>
    </w:p>
    <w:p w14:paraId="75874604" w14:textId="6F56DF16" w:rsidR="00A05948" w:rsidRPr="00A05948" w:rsidRDefault="00A05948" w:rsidP="00A05948">
      <w:pPr>
        <w:pStyle w:val="Heading3"/>
        <w:spacing w:before="0" w:line="276" w:lineRule="auto"/>
        <w:jc w:val="both"/>
        <w:rPr>
          <w:rFonts w:ascii="Garamond" w:hAnsi="Garamond"/>
          <w:color w:val="000000" w:themeColor="text1"/>
          <w:sz w:val="22"/>
          <w:szCs w:val="22"/>
        </w:rPr>
      </w:pPr>
      <w:r w:rsidRPr="00A05948">
        <w:rPr>
          <w:rFonts w:ascii="Garamond" w:hAnsi="Garamond"/>
          <w:color w:val="000000" w:themeColor="text1"/>
          <w:sz w:val="22"/>
          <w:szCs w:val="22"/>
        </w:rPr>
        <w:t>5.5 Directions for Future Research</w:t>
      </w:r>
    </w:p>
    <w:p w14:paraId="63D65267" w14:textId="19AEB4C5" w:rsidR="00A05948" w:rsidRPr="00A05948" w:rsidRDefault="00A05948" w:rsidP="00A05948">
      <w:pPr>
        <w:pStyle w:val="isselectedend"/>
        <w:spacing w:before="0" w:beforeAutospacing="0" w:after="0" w:afterAutospacing="0" w:line="276" w:lineRule="auto"/>
        <w:ind w:firstLine="567"/>
        <w:jc w:val="both"/>
        <w:rPr>
          <w:rFonts w:ascii="Garamond" w:hAnsi="Garamond"/>
          <w:sz w:val="22"/>
          <w:szCs w:val="22"/>
        </w:rPr>
      </w:pPr>
      <w:r w:rsidRPr="00A05948">
        <w:rPr>
          <w:rFonts w:ascii="Garamond" w:hAnsi="Garamond"/>
          <w:sz w:val="22"/>
          <w:szCs w:val="22"/>
        </w:rPr>
        <w:t xml:space="preserve">Future research should complement the normative and socio-legal analysis presented in this study with empirical research examining how different communities experience the implementation of law and access to justice. Qualitative studies involving vulnerable groups, legal practitioners, law enforcement officers, judges, and policymakers could provide deeper evidence concerning the practical gap between </w:t>
      </w:r>
      <w:r w:rsidRPr="00A05948">
        <w:rPr>
          <w:rStyle w:val="Emphasis"/>
          <w:rFonts w:ascii="Garamond" w:hAnsi="Garamond"/>
          <w:sz w:val="22"/>
          <w:szCs w:val="22"/>
        </w:rPr>
        <w:t>law in the books</w:t>
      </w:r>
      <w:r w:rsidRPr="00A05948">
        <w:rPr>
          <w:rFonts w:ascii="Garamond" w:hAnsi="Garamond"/>
          <w:sz w:val="22"/>
          <w:szCs w:val="22"/>
        </w:rPr>
        <w:t xml:space="preserve"> and </w:t>
      </w:r>
      <w:r w:rsidRPr="00A05948">
        <w:rPr>
          <w:rStyle w:val="Emphasis"/>
          <w:rFonts w:ascii="Garamond" w:hAnsi="Garamond"/>
          <w:sz w:val="22"/>
          <w:szCs w:val="22"/>
        </w:rPr>
        <w:t>law in action</w:t>
      </w:r>
      <w:r w:rsidRPr="00A05948">
        <w:rPr>
          <w:rFonts w:ascii="Garamond" w:hAnsi="Garamond"/>
          <w:sz w:val="22"/>
          <w:szCs w:val="22"/>
        </w:rPr>
        <w:t>.</w:t>
      </w:r>
      <w:r>
        <w:rPr>
          <w:rFonts w:ascii="Garamond" w:hAnsi="Garamond"/>
          <w:sz w:val="22"/>
          <w:szCs w:val="22"/>
        </w:rPr>
        <w:t xml:space="preserve"> </w:t>
      </w:r>
      <w:r w:rsidRPr="00A05948">
        <w:rPr>
          <w:rFonts w:ascii="Garamond" w:hAnsi="Garamond"/>
          <w:sz w:val="22"/>
          <w:szCs w:val="22"/>
        </w:rPr>
        <w:t xml:space="preserve">Future studies may also employ mixed-method or comparative approaches to examine how socioeconomic status, education, legal awareness, institutional accessibility, and cultural factors influence people's ability to obtain justice. </w:t>
      </w:r>
      <w:r w:rsidRPr="00A05948">
        <w:rPr>
          <w:rFonts w:ascii="Garamond" w:hAnsi="Garamond"/>
          <w:sz w:val="22"/>
          <w:szCs w:val="22"/>
        </w:rPr>
        <w:lastRenderedPageBreak/>
        <w:t xml:space="preserve">Comparative research across regions or legal systems could further clarify how different institutional and social contexts shape the effectiveness of legal sociology in advancing social </w:t>
      </w:r>
      <w:proofErr w:type="spellStart"/>
      <w:r w:rsidRPr="00A05948">
        <w:rPr>
          <w:rFonts w:ascii="Garamond" w:hAnsi="Garamond"/>
          <w:sz w:val="22"/>
          <w:szCs w:val="22"/>
        </w:rPr>
        <w:t>justice.Such</w:t>
      </w:r>
      <w:proofErr w:type="spellEnd"/>
      <w:r w:rsidRPr="00A05948">
        <w:rPr>
          <w:rFonts w:ascii="Garamond" w:hAnsi="Garamond"/>
          <w:sz w:val="22"/>
          <w:szCs w:val="22"/>
        </w:rPr>
        <w:t xml:space="preserve"> research would strengthen the empirical foundation of socio-legal scholarship and provide more specific evidence for developing legal policies that are responsive to social conditions, protect vulnerable groups, expand access to justice, and promote substantive social justice.</w:t>
      </w:r>
    </w:p>
    <w:p w14:paraId="6D9AFBC5" w14:textId="30241582" w:rsidR="00F8470F" w:rsidRPr="00824144" w:rsidRDefault="00F8470F" w:rsidP="00A05948">
      <w:pPr>
        <w:spacing w:line="276" w:lineRule="auto"/>
        <w:jc w:val="both"/>
        <w:rPr>
          <w:rFonts w:ascii="Garamond" w:hAnsi="Garamond"/>
          <w:i/>
          <w:sz w:val="22"/>
          <w:szCs w:val="22"/>
          <w:lang w:val="id-ID"/>
        </w:rPr>
      </w:pPr>
    </w:p>
    <w:p w14:paraId="73C530FD" w14:textId="7D548D2F" w:rsidR="006017BF" w:rsidRDefault="00F8470F" w:rsidP="00435DA1">
      <w:pPr>
        <w:pStyle w:val="Heading1"/>
        <w:numPr>
          <w:ilvl w:val="0"/>
          <w:numId w:val="2"/>
        </w:numPr>
        <w:suppressAutoHyphens/>
        <w:spacing w:line="276" w:lineRule="auto"/>
        <w:ind w:left="274" w:hanging="274"/>
        <w:rPr>
          <w:rFonts w:ascii="Garamond" w:hAnsi="Garamond"/>
          <w:b w:val="0"/>
          <w:i w:val="0"/>
          <w:color w:val="002060"/>
          <w:sz w:val="22"/>
          <w:szCs w:val="22"/>
          <w:lang w:val="id-ID"/>
        </w:rPr>
      </w:pPr>
      <w:proofErr w:type="spellStart"/>
      <w:r w:rsidRPr="00A05948">
        <w:rPr>
          <w:rFonts w:ascii="Garamond" w:hAnsi="Garamond"/>
          <w:i w:val="0"/>
          <w:color w:val="002060"/>
          <w:sz w:val="22"/>
          <w:szCs w:val="22"/>
          <w:lang w:val="id-ID"/>
        </w:rPr>
        <w:t>References</w:t>
      </w:r>
      <w:proofErr w:type="spellEnd"/>
      <w:r w:rsidRPr="00A05948">
        <w:rPr>
          <w:rFonts w:ascii="Garamond" w:hAnsi="Garamond"/>
          <w:b w:val="0"/>
          <w:i w:val="0"/>
          <w:color w:val="002060"/>
          <w:sz w:val="22"/>
          <w:szCs w:val="22"/>
          <w:lang w:val="id-ID"/>
        </w:rPr>
        <w:t xml:space="preserve"> </w:t>
      </w:r>
    </w:p>
    <w:p w14:paraId="2AB7363E" w14:textId="77777777" w:rsidR="003A6CA3" w:rsidRPr="003A6CA3" w:rsidRDefault="003A6CA3" w:rsidP="003A6CA3">
      <w:pPr>
        <w:pStyle w:val="pdq2pgselectionanchorcontainer"/>
        <w:spacing w:before="0" w:beforeAutospacing="0" w:after="0" w:afterAutospacing="0"/>
        <w:ind w:left="567" w:hanging="567"/>
        <w:jc w:val="both"/>
        <w:rPr>
          <w:rFonts w:ascii="Garamond" w:hAnsi="Garamond"/>
          <w:sz w:val="22"/>
          <w:szCs w:val="22"/>
        </w:rPr>
      </w:pPr>
      <w:proofErr w:type="spellStart"/>
      <w:r w:rsidRPr="003A6CA3">
        <w:rPr>
          <w:rFonts w:ascii="Garamond" w:hAnsi="Garamond"/>
          <w:sz w:val="22"/>
          <w:szCs w:val="22"/>
        </w:rPr>
        <w:t>Hilbink</w:t>
      </w:r>
      <w:proofErr w:type="spellEnd"/>
      <w:r w:rsidRPr="003A6CA3">
        <w:rPr>
          <w:rFonts w:ascii="Garamond" w:hAnsi="Garamond"/>
          <w:sz w:val="22"/>
          <w:szCs w:val="22"/>
        </w:rPr>
        <w:t xml:space="preserve">, L., &amp; Salas Ramos, V. (2024). Citizen awakening? Exploring legal consciousness in a context of mass political mobilization. </w:t>
      </w:r>
      <w:r w:rsidRPr="003A6CA3">
        <w:rPr>
          <w:rStyle w:val="Emphasis"/>
          <w:rFonts w:ascii="Garamond" w:hAnsi="Garamond"/>
          <w:sz w:val="22"/>
          <w:szCs w:val="22"/>
        </w:rPr>
        <w:t>Law &amp; Society Review, 58</w:t>
      </w:r>
      <w:r w:rsidRPr="003A6CA3">
        <w:rPr>
          <w:rFonts w:ascii="Garamond" w:hAnsi="Garamond"/>
          <w:sz w:val="22"/>
          <w:szCs w:val="22"/>
        </w:rPr>
        <w:t>(2), 245–272.</w:t>
      </w:r>
    </w:p>
    <w:p w14:paraId="51A8BB9E"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proofErr w:type="spellStart"/>
      <w:r w:rsidRPr="003A6CA3">
        <w:rPr>
          <w:rFonts w:ascii="Garamond" w:hAnsi="Garamond"/>
          <w:sz w:val="22"/>
          <w:szCs w:val="22"/>
        </w:rPr>
        <w:t>Hijriani</w:t>
      </w:r>
      <w:proofErr w:type="spellEnd"/>
      <w:r w:rsidRPr="003A6CA3">
        <w:rPr>
          <w:rFonts w:ascii="Garamond" w:hAnsi="Garamond"/>
          <w:sz w:val="22"/>
          <w:szCs w:val="22"/>
        </w:rPr>
        <w:t xml:space="preserve">, H., &amp; Hasima, H. (2022). Access to justice for vulnerable groups in law. </w:t>
      </w:r>
      <w:r w:rsidRPr="003A6CA3">
        <w:rPr>
          <w:rStyle w:val="Emphasis"/>
          <w:rFonts w:ascii="Garamond" w:hAnsi="Garamond"/>
          <w:sz w:val="22"/>
          <w:szCs w:val="22"/>
        </w:rPr>
        <w:t>International Journal of Management and Education in Human Development, 2</w:t>
      </w:r>
      <w:r w:rsidRPr="003A6CA3">
        <w:rPr>
          <w:rFonts w:ascii="Garamond" w:hAnsi="Garamond"/>
          <w:sz w:val="22"/>
          <w:szCs w:val="22"/>
        </w:rPr>
        <w:t>(4), 661–664.</w:t>
      </w:r>
    </w:p>
    <w:p w14:paraId="51328718"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r w:rsidRPr="003A6CA3">
        <w:rPr>
          <w:rFonts w:ascii="Garamond" w:hAnsi="Garamond"/>
          <w:sz w:val="22"/>
          <w:szCs w:val="22"/>
        </w:rPr>
        <w:t xml:space="preserve">Horák, F., Lacko, D., &amp; Klocek, A. (2021). Legal consciousness: A systematic review of its conceptualization and measurement methods. </w:t>
      </w:r>
      <w:proofErr w:type="spellStart"/>
      <w:r w:rsidRPr="003A6CA3">
        <w:rPr>
          <w:rStyle w:val="Emphasis"/>
          <w:rFonts w:ascii="Garamond" w:hAnsi="Garamond"/>
          <w:sz w:val="22"/>
          <w:szCs w:val="22"/>
        </w:rPr>
        <w:t>Anuario</w:t>
      </w:r>
      <w:proofErr w:type="spellEnd"/>
      <w:r w:rsidRPr="003A6CA3">
        <w:rPr>
          <w:rStyle w:val="Emphasis"/>
          <w:rFonts w:ascii="Garamond" w:hAnsi="Garamond"/>
          <w:sz w:val="22"/>
          <w:szCs w:val="22"/>
        </w:rPr>
        <w:t xml:space="preserve"> de </w:t>
      </w:r>
      <w:proofErr w:type="spellStart"/>
      <w:r w:rsidRPr="003A6CA3">
        <w:rPr>
          <w:rStyle w:val="Emphasis"/>
          <w:rFonts w:ascii="Garamond" w:hAnsi="Garamond"/>
          <w:sz w:val="22"/>
          <w:szCs w:val="22"/>
        </w:rPr>
        <w:t>Psicología</w:t>
      </w:r>
      <w:proofErr w:type="spellEnd"/>
      <w:r w:rsidRPr="003A6CA3">
        <w:rPr>
          <w:rStyle w:val="Emphasis"/>
          <w:rFonts w:ascii="Garamond" w:hAnsi="Garamond"/>
          <w:sz w:val="22"/>
          <w:szCs w:val="22"/>
        </w:rPr>
        <w:t xml:space="preserve"> </w:t>
      </w:r>
      <w:proofErr w:type="spellStart"/>
      <w:r w:rsidRPr="003A6CA3">
        <w:rPr>
          <w:rStyle w:val="Emphasis"/>
          <w:rFonts w:ascii="Garamond" w:hAnsi="Garamond"/>
          <w:sz w:val="22"/>
          <w:szCs w:val="22"/>
        </w:rPr>
        <w:t>Jurídica</w:t>
      </w:r>
      <w:proofErr w:type="spellEnd"/>
      <w:r w:rsidRPr="003A6CA3">
        <w:rPr>
          <w:rStyle w:val="Emphasis"/>
          <w:rFonts w:ascii="Garamond" w:hAnsi="Garamond"/>
          <w:sz w:val="22"/>
          <w:szCs w:val="22"/>
        </w:rPr>
        <w:t>, 31</w:t>
      </w:r>
      <w:r w:rsidRPr="003A6CA3">
        <w:rPr>
          <w:rFonts w:ascii="Garamond" w:hAnsi="Garamond"/>
          <w:sz w:val="22"/>
          <w:szCs w:val="22"/>
        </w:rPr>
        <w:t>(1), 9–34.</w:t>
      </w:r>
    </w:p>
    <w:p w14:paraId="1A7596BC"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r w:rsidRPr="003A6CA3">
        <w:rPr>
          <w:rFonts w:ascii="Garamond" w:hAnsi="Garamond"/>
          <w:sz w:val="22"/>
          <w:szCs w:val="22"/>
        </w:rPr>
        <w:t xml:space="preserve">Kusumo, B. A. (2021). The laxity of criminal law enforcement in Indonesia and efforts to overcome it. </w:t>
      </w:r>
      <w:proofErr w:type="spellStart"/>
      <w:r w:rsidRPr="003A6CA3">
        <w:rPr>
          <w:rStyle w:val="Emphasis"/>
          <w:rFonts w:ascii="Garamond" w:hAnsi="Garamond"/>
          <w:sz w:val="22"/>
          <w:szCs w:val="22"/>
        </w:rPr>
        <w:t>Wacana</w:t>
      </w:r>
      <w:proofErr w:type="spellEnd"/>
      <w:r w:rsidRPr="003A6CA3">
        <w:rPr>
          <w:rStyle w:val="Emphasis"/>
          <w:rFonts w:ascii="Garamond" w:hAnsi="Garamond"/>
          <w:sz w:val="22"/>
          <w:szCs w:val="22"/>
        </w:rPr>
        <w:t xml:space="preserve"> Hukum, 27</w:t>
      </w:r>
      <w:r w:rsidRPr="003A6CA3">
        <w:rPr>
          <w:rFonts w:ascii="Garamond" w:hAnsi="Garamond"/>
          <w:sz w:val="22"/>
          <w:szCs w:val="22"/>
        </w:rPr>
        <w:t>(1), 44–55.</w:t>
      </w:r>
    </w:p>
    <w:p w14:paraId="2C247D2B"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proofErr w:type="spellStart"/>
      <w:r w:rsidRPr="003A6CA3">
        <w:rPr>
          <w:rFonts w:ascii="Garamond" w:hAnsi="Garamond"/>
          <w:sz w:val="22"/>
          <w:szCs w:val="22"/>
        </w:rPr>
        <w:t>Paikah</w:t>
      </w:r>
      <w:proofErr w:type="spellEnd"/>
      <w:r w:rsidRPr="003A6CA3">
        <w:rPr>
          <w:rFonts w:ascii="Garamond" w:hAnsi="Garamond"/>
          <w:sz w:val="22"/>
          <w:szCs w:val="22"/>
        </w:rPr>
        <w:t xml:space="preserve">, N. (2023). Problems of inclusive legal services for persons with disabilities. </w:t>
      </w:r>
      <w:r w:rsidRPr="003A6CA3">
        <w:rPr>
          <w:rStyle w:val="Emphasis"/>
          <w:rFonts w:ascii="Garamond" w:hAnsi="Garamond"/>
          <w:sz w:val="22"/>
          <w:szCs w:val="22"/>
        </w:rPr>
        <w:t>Journal of Indonesian Scholars for Social Research, 4</w:t>
      </w:r>
      <w:r w:rsidRPr="003A6CA3">
        <w:rPr>
          <w:rFonts w:ascii="Garamond" w:hAnsi="Garamond"/>
          <w:sz w:val="22"/>
          <w:szCs w:val="22"/>
        </w:rPr>
        <w:t>(1).</w:t>
      </w:r>
    </w:p>
    <w:p w14:paraId="0EE2B06B"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r w:rsidRPr="003A6CA3">
        <w:rPr>
          <w:rFonts w:ascii="Garamond" w:hAnsi="Garamond"/>
          <w:sz w:val="22"/>
          <w:szCs w:val="22"/>
        </w:rPr>
        <w:t xml:space="preserve">Shahar, I., &amp; Yefet, K. C. (2023). Rethinking the rethinking of legal pluralism: Toward a manifesto for a pluri-legal perspective. </w:t>
      </w:r>
      <w:r w:rsidRPr="003A6CA3">
        <w:rPr>
          <w:rStyle w:val="Emphasis"/>
          <w:rFonts w:ascii="Garamond" w:hAnsi="Garamond"/>
          <w:sz w:val="22"/>
          <w:szCs w:val="22"/>
        </w:rPr>
        <w:t>Law and History Review, 41</w:t>
      </w:r>
      <w:r w:rsidRPr="003A6CA3">
        <w:rPr>
          <w:rFonts w:ascii="Garamond" w:hAnsi="Garamond"/>
          <w:sz w:val="22"/>
          <w:szCs w:val="22"/>
        </w:rPr>
        <w:t>(4), 835–858.</w:t>
      </w:r>
    </w:p>
    <w:p w14:paraId="2996AB86"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proofErr w:type="spellStart"/>
      <w:r w:rsidRPr="003A6CA3">
        <w:rPr>
          <w:rFonts w:ascii="Garamond" w:hAnsi="Garamond"/>
          <w:sz w:val="22"/>
          <w:szCs w:val="22"/>
        </w:rPr>
        <w:t>Suhariyanto</w:t>
      </w:r>
      <w:proofErr w:type="spellEnd"/>
      <w:r w:rsidRPr="003A6CA3">
        <w:rPr>
          <w:rFonts w:ascii="Garamond" w:hAnsi="Garamond"/>
          <w:sz w:val="22"/>
          <w:szCs w:val="22"/>
        </w:rPr>
        <w:t xml:space="preserve">, B., &amp; Mustafa, C. (2022). Analysis and evaluation of legal aid in the Indonesian court. </w:t>
      </w:r>
      <w:proofErr w:type="spellStart"/>
      <w:r w:rsidRPr="003A6CA3">
        <w:rPr>
          <w:rStyle w:val="Emphasis"/>
          <w:rFonts w:ascii="Garamond" w:hAnsi="Garamond"/>
          <w:sz w:val="22"/>
          <w:szCs w:val="22"/>
        </w:rPr>
        <w:t>Jurnal</w:t>
      </w:r>
      <w:proofErr w:type="spellEnd"/>
      <w:r w:rsidRPr="003A6CA3">
        <w:rPr>
          <w:rStyle w:val="Emphasis"/>
          <w:rFonts w:ascii="Garamond" w:hAnsi="Garamond"/>
          <w:sz w:val="22"/>
          <w:szCs w:val="22"/>
        </w:rPr>
        <w:t xml:space="preserve"> Hukum dan </w:t>
      </w:r>
      <w:proofErr w:type="spellStart"/>
      <w:r w:rsidRPr="003A6CA3">
        <w:rPr>
          <w:rStyle w:val="Emphasis"/>
          <w:rFonts w:ascii="Garamond" w:hAnsi="Garamond"/>
          <w:sz w:val="22"/>
          <w:szCs w:val="22"/>
        </w:rPr>
        <w:t>Peradilan</w:t>
      </w:r>
      <w:proofErr w:type="spellEnd"/>
      <w:r w:rsidRPr="003A6CA3">
        <w:rPr>
          <w:rStyle w:val="Emphasis"/>
          <w:rFonts w:ascii="Garamond" w:hAnsi="Garamond"/>
          <w:sz w:val="22"/>
          <w:szCs w:val="22"/>
        </w:rPr>
        <w:t>, 11</w:t>
      </w:r>
      <w:r w:rsidRPr="003A6CA3">
        <w:rPr>
          <w:rFonts w:ascii="Garamond" w:hAnsi="Garamond"/>
          <w:sz w:val="22"/>
          <w:szCs w:val="22"/>
        </w:rPr>
        <w:t>(2), 176–194.</w:t>
      </w:r>
    </w:p>
    <w:p w14:paraId="143F056E"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r w:rsidRPr="003A6CA3">
        <w:rPr>
          <w:rFonts w:ascii="Garamond" w:hAnsi="Garamond"/>
          <w:sz w:val="22"/>
          <w:szCs w:val="22"/>
        </w:rPr>
        <w:t xml:space="preserve">Syarhan, M. (2021). Socio-cultural and legal changes in Indonesia. </w:t>
      </w:r>
      <w:proofErr w:type="spellStart"/>
      <w:r w:rsidRPr="003A6CA3">
        <w:rPr>
          <w:rStyle w:val="Emphasis"/>
          <w:rFonts w:ascii="Garamond" w:hAnsi="Garamond"/>
          <w:sz w:val="22"/>
          <w:szCs w:val="22"/>
        </w:rPr>
        <w:t>Jurnal</w:t>
      </w:r>
      <w:proofErr w:type="spellEnd"/>
      <w:r w:rsidRPr="003A6CA3">
        <w:rPr>
          <w:rStyle w:val="Emphasis"/>
          <w:rFonts w:ascii="Garamond" w:hAnsi="Garamond"/>
          <w:sz w:val="22"/>
          <w:szCs w:val="22"/>
        </w:rPr>
        <w:t xml:space="preserve"> Hukum </w:t>
      </w:r>
      <w:proofErr w:type="spellStart"/>
      <w:r w:rsidRPr="003A6CA3">
        <w:rPr>
          <w:rStyle w:val="Emphasis"/>
          <w:rFonts w:ascii="Garamond" w:hAnsi="Garamond"/>
          <w:sz w:val="22"/>
          <w:szCs w:val="22"/>
        </w:rPr>
        <w:t>Progresif</w:t>
      </w:r>
      <w:proofErr w:type="spellEnd"/>
      <w:r w:rsidRPr="003A6CA3">
        <w:rPr>
          <w:rStyle w:val="Emphasis"/>
          <w:rFonts w:ascii="Garamond" w:hAnsi="Garamond"/>
          <w:sz w:val="22"/>
          <w:szCs w:val="22"/>
        </w:rPr>
        <w:t>, 9</w:t>
      </w:r>
      <w:r w:rsidRPr="003A6CA3">
        <w:rPr>
          <w:rFonts w:ascii="Garamond" w:hAnsi="Garamond"/>
          <w:sz w:val="22"/>
          <w:szCs w:val="22"/>
        </w:rPr>
        <w:t>(2), 135–145.</w:t>
      </w:r>
    </w:p>
    <w:p w14:paraId="50C006F4"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r w:rsidRPr="003A6CA3">
        <w:rPr>
          <w:rFonts w:ascii="Garamond" w:hAnsi="Garamond"/>
          <w:sz w:val="22"/>
          <w:szCs w:val="22"/>
        </w:rPr>
        <w:t xml:space="preserve">Umairy, A. K. (2024). Legal sociology to realize just law. </w:t>
      </w:r>
      <w:r w:rsidRPr="003A6CA3">
        <w:rPr>
          <w:rStyle w:val="Emphasis"/>
          <w:rFonts w:ascii="Garamond" w:hAnsi="Garamond"/>
          <w:sz w:val="22"/>
          <w:szCs w:val="22"/>
        </w:rPr>
        <w:t xml:space="preserve">HUKMY: </w:t>
      </w:r>
      <w:proofErr w:type="spellStart"/>
      <w:r w:rsidRPr="003A6CA3">
        <w:rPr>
          <w:rStyle w:val="Emphasis"/>
          <w:rFonts w:ascii="Garamond" w:hAnsi="Garamond"/>
          <w:sz w:val="22"/>
          <w:szCs w:val="22"/>
        </w:rPr>
        <w:t>Jurnal</w:t>
      </w:r>
      <w:proofErr w:type="spellEnd"/>
      <w:r w:rsidRPr="003A6CA3">
        <w:rPr>
          <w:rStyle w:val="Emphasis"/>
          <w:rFonts w:ascii="Garamond" w:hAnsi="Garamond"/>
          <w:sz w:val="22"/>
          <w:szCs w:val="22"/>
        </w:rPr>
        <w:t xml:space="preserve"> Hukum, 3</w:t>
      </w:r>
      <w:r w:rsidRPr="003A6CA3">
        <w:rPr>
          <w:rFonts w:ascii="Garamond" w:hAnsi="Garamond"/>
          <w:sz w:val="22"/>
          <w:szCs w:val="22"/>
        </w:rPr>
        <w:t>(2), 441–450.</w:t>
      </w:r>
    </w:p>
    <w:p w14:paraId="71D7AF1B" w14:textId="77777777" w:rsidR="003A6CA3" w:rsidRPr="003A6CA3" w:rsidRDefault="003A6CA3" w:rsidP="003A6CA3">
      <w:pPr>
        <w:pStyle w:val="NormalWeb"/>
        <w:spacing w:before="0" w:beforeAutospacing="0" w:after="0" w:afterAutospacing="0"/>
        <w:ind w:left="567" w:hanging="567"/>
        <w:jc w:val="both"/>
        <w:rPr>
          <w:rFonts w:ascii="Garamond" w:hAnsi="Garamond"/>
          <w:sz w:val="22"/>
          <w:szCs w:val="22"/>
        </w:rPr>
      </w:pPr>
      <w:r w:rsidRPr="003A6CA3">
        <w:rPr>
          <w:rFonts w:ascii="Garamond" w:hAnsi="Garamond"/>
          <w:sz w:val="22"/>
          <w:szCs w:val="22"/>
        </w:rPr>
        <w:t xml:space="preserve">Young, K. M., &amp; </w:t>
      </w:r>
      <w:proofErr w:type="spellStart"/>
      <w:r w:rsidRPr="003A6CA3">
        <w:rPr>
          <w:rFonts w:ascii="Garamond" w:hAnsi="Garamond"/>
          <w:sz w:val="22"/>
          <w:szCs w:val="22"/>
        </w:rPr>
        <w:t>Chimowitz</w:t>
      </w:r>
      <w:proofErr w:type="spellEnd"/>
      <w:r w:rsidRPr="003A6CA3">
        <w:rPr>
          <w:rFonts w:ascii="Garamond" w:hAnsi="Garamond"/>
          <w:sz w:val="22"/>
          <w:szCs w:val="22"/>
        </w:rPr>
        <w:t xml:space="preserve">, H. (2022). How parole boards judge remorse: Relational legal consciousness and the reproduction of carceral logic. </w:t>
      </w:r>
      <w:r w:rsidRPr="003A6CA3">
        <w:rPr>
          <w:rStyle w:val="Emphasis"/>
          <w:rFonts w:ascii="Garamond" w:hAnsi="Garamond"/>
          <w:sz w:val="22"/>
          <w:szCs w:val="22"/>
        </w:rPr>
        <w:t>Law &amp; Society Review, 56</w:t>
      </w:r>
      <w:r w:rsidRPr="003A6CA3">
        <w:rPr>
          <w:rFonts w:ascii="Garamond" w:hAnsi="Garamond"/>
          <w:sz w:val="22"/>
          <w:szCs w:val="22"/>
        </w:rPr>
        <w:t>(2), 237–260.</w:t>
      </w:r>
    </w:p>
    <w:p w14:paraId="1F0D873A" w14:textId="77777777" w:rsidR="003A6CA3" w:rsidRPr="003A6CA3" w:rsidRDefault="003A6CA3" w:rsidP="003A6CA3">
      <w:pPr>
        <w:rPr>
          <w:lang w:val="id-ID"/>
        </w:rPr>
      </w:pPr>
    </w:p>
    <w:sectPr w:rsidR="003A6CA3" w:rsidRPr="003A6CA3" w:rsidSect="003A6CA3">
      <w:type w:val="continuous"/>
      <w:pgSz w:w="11909" w:h="16834"/>
      <w:pgMar w:top="1134" w:right="1134" w:bottom="1134" w:left="1134" w:header="567"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F483E0" w14:textId="77777777" w:rsidR="00C9526C" w:rsidRDefault="00C9526C">
      <w:r>
        <w:separator/>
      </w:r>
    </w:p>
  </w:endnote>
  <w:endnote w:type="continuationSeparator" w:id="0">
    <w:p w14:paraId="44EB95B2" w14:textId="77777777" w:rsidR="00C9526C" w:rsidRDefault="00C95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4941" w:type="pct"/>
      <w:tblCellMar>
        <w:top w:w="72" w:type="dxa"/>
        <w:left w:w="115" w:type="dxa"/>
        <w:bottom w:w="72" w:type="dxa"/>
        <w:right w:w="115" w:type="dxa"/>
      </w:tblCellMar>
      <w:tblLook w:val="04A0" w:firstRow="1" w:lastRow="0" w:firstColumn="1" w:lastColumn="0" w:noHBand="0" w:noVBand="1"/>
    </w:tblPr>
    <w:tblGrid>
      <w:gridCol w:w="8885"/>
      <w:gridCol w:w="870"/>
    </w:tblGrid>
    <w:tr w:rsidR="00081160" w:rsidRPr="00E33720" w14:paraId="2EF007F8" w14:textId="77777777" w:rsidTr="00721E05">
      <w:tc>
        <w:tcPr>
          <w:tcW w:w="4554" w:type="pct"/>
          <w:tcBorders>
            <w:top w:val="single" w:sz="4" w:space="0" w:color="000000" w:themeColor="text1"/>
          </w:tcBorders>
        </w:tcPr>
        <w:p w14:paraId="6CF6196C" w14:textId="77777777" w:rsidR="00081160" w:rsidRPr="00E33720" w:rsidRDefault="00000000" w:rsidP="00081160">
          <w:pPr>
            <w:pStyle w:val="Footer"/>
            <w:jc w:val="right"/>
            <w:rPr>
              <w:rFonts w:ascii="Garamond" w:hAnsi="Garamond"/>
              <w:iCs/>
              <w:sz w:val="16"/>
              <w:szCs w:val="16"/>
              <w:lang w:val="id-ID"/>
            </w:rPr>
          </w:pPr>
          <w:sdt>
            <w:sdtPr>
              <w:rPr>
                <w:rStyle w:val="Heading1Char"/>
                <w:rFonts w:ascii="Garamond" w:hAnsi="Garamond"/>
                <w:b w:val="0"/>
                <w:i w:val="0"/>
                <w:iCs/>
                <w:color w:val="0000FF"/>
                <w:sz w:val="16"/>
                <w:szCs w:val="16"/>
              </w:rPr>
              <w:alias w:val="Company"/>
              <w:id w:val="1561828483"/>
              <w:dataBinding w:prefixMappings="xmlns:ns0='http://schemas.openxmlformats.org/officeDocument/2006/extended-properties'" w:xpath="/ns0:Properties[1]/ns0:Company[1]" w:storeItemID="{6668398D-A668-4E3E-A5EB-62B293D839F1}"/>
              <w:text/>
            </w:sdtPr>
            <w:sdtContent>
              <w:r w:rsidR="00081160" w:rsidRPr="00E33720">
                <w:rPr>
                  <w:rStyle w:val="Heading1Char"/>
                  <w:rFonts w:ascii="Garamond" w:hAnsi="Garamond"/>
                  <w:b w:val="0"/>
                  <w:i w:val="0"/>
                  <w:iCs/>
                  <w:color w:val="0000FF"/>
                  <w:sz w:val="16"/>
                  <w:szCs w:val="16"/>
                </w:rPr>
                <w:t>(https://jurnal.amertainstitute.com/index.php/phoenix</w:t>
              </w:r>
              <w:r w:rsidR="00081160">
                <w:rPr>
                  <w:rStyle w:val="Heading1Char"/>
                  <w:rFonts w:ascii="Garamond" w:hAnsi="Garamond"/>
                  <w:b w:val="0"/>
                  <w:i w:val="0"/>
                  <w:iCs/>
                  <w:color w:val="0000FF"/>
                  <w:sz w:val="16"/>
                  <w:szCs w:val="16"/>
                </w:rPr>
                <w:t>)</w:t>
              </w:r>
            </w:sdtContent>
          </w:sdt>
          <w:r w:rsidR="00081160" w:rsidRPr="00E33720">
            <w:rPr>
              <w:rFonts w:ascii="Garamond" w:hAnsi="Garamond"/>
              <w:iCs/>
              <w:color w:val="002060"/>
              <w:sz w:val="16"/>
              <w:szCs w:val="16"/>
            </w:rPr>
            <w:t xml:space="preserve">| </w:t>
          </w:r>
          <w:r w:rsidR="00081160" w:rsidRPr="00E33720">
            <w:rPr>
              <w:rFonts w:ascii="Garamond" w:hAnsi="Garamond"/>
              <w:iCs/>
              <w:color w:val="002060"/>
              <w:sz w:val="16"/>
              <w:szCs w:val="16"/>
              <w:lang w:val="id-ID"/>
            </w:rPr>
            <w:t xml:space="preserve">Volume </w:t>
          </w:r>
          <w:r w:rsidR="00081160">
            <w:rPr>
              <w:rFonts w:ascii="Garamond" w:hAnsi="Garamond"/>
              <w:iCs/>
              <w:color w:val="002060"/>
              <w:sz w:val="16"/>
              <w:szCs w:val="16"/>
              <w:lang w:val="id-ID"/>
            </w:rPr>
            <w:t>1</w:t>
          </w:r>
          <w:r w:rsidR="00081160" w:rsidRPr="00E33720">
            <w:rPr>
              <w:rFonts w:ascii="Garamond" w:hAnsi="Garamond"/>
              <w:iCs/>
              <w:color w:val="002060"/>
              <w:sz w:val="16"/>
              <w:szCs w:val="16"/>
              <w:lang w:val="id-ID"/>
            </w:rPr>
            <w:t xml:space="preserve"> </w:t>
          </w:r>
          <w:proofErr w:type="spellStart"/>
          <w:r w:rsidR="00081160" w:rsidRPr="00E33720">
            <w:rPr>
              <w:rFonts w:ascii="Garamond" w:hAnsi="Garamond"/>
              <w:iCs/>
              <w:color w:val="002060"/>
              <w:sz w:val="16"/>
              <w:szCs w:val="16"/>
              <w:lang w:val="id-ID"/>
            </w:rPr>
            <w:t>No</w:t>
          </w:r>
          <w:proofErr w:type="spellEnd"/>
          <w:r w:rsidR="00081160" w:rsidRPr="00E33720">
            <w:rPr>
              <w:rFonts w:ascii="Garamond" w:hAnsi="Garamond"/>
              <w:iCs/>
              <w:color w:val="002060"/>
              <w:sz w:val="16"/>
              <w:szCs w:val="16"/>
              <w:lang w:val="id-ID"/>
            </w:rPr>
            <w:t xml:space="preserve"> </w:t>
          </w:r>
          <w:r w:rsidR="00081160">
            <w:rPr>
              <w:rFonts w:ascii="Garamond" w:hAnsi="Garamond"/>
              <w:iCs/>
              <w:color w:val="002060"/>
              <w:sz w:val="16"/>
              <w:szCs w:val="16"/>
              <w:lang w:val="id-ID"/>
            </w:rPr>
            <w:t>1</w:t>
          </w:r>
          <w:r w:rsidR="00081160" w:rsidRPr="00E33720">
            <w:rPr>
              <w:rFonts w:ascii="Garamond" w:hAnsi="Garamond"/>
              <w:iCs/>
              <w:color w:val="002060"/>
              <w:sz w:val="16"/>
              <w:szCs w:val="16"/>
              <w:lang w:val="id-ID"/>
            </w:rPr>
            <w:t xml:space="preserve"> </w:t>
          </w:r>
          <w:proofErr w:type="spellStart"/>
          <w:proofErr w:type="gramStart"/>
          <w:r w:rsidR="00081160" w:rsidRPr="00E33720">
            <w:rPr>
              <w:rFonts w:ascii="Garamond" w:hAnsi="Garamond"/>
              <w:iCs/>
              <w:color w:val="002060"/>
              <w:sz w:val="16"/>
              <w:szCs w:val="16"/>
              <w:lang w:val="id-ID"/>
            </w:rPr>
            <w:t>January</w:t>
          </w:r>
          <w:proofErr w:type="spellEnd"/>
          <w:r w:rsidR="00081160" w:rsidRPr="00E33720">
            <w:rPr>
              <w:rFonts w:ascii="Garamond" w:hAnsi="Garamond"/>
              <w:iCs/>
              <w:color w:val="002060"/>
              <w:sz w:val="16"/>
              <w:szCs w:val="16"/>
              <w:lang w:val="id-ID"/>
            </w:rPr>
            <w:t xml:space="preserve">  202</w:t>
          </w:r>
          <w:r w:rsidR="00081160">
            <w:rPr>
              <w:rFonts w:ascii="Garamond" w:hAnsi="Garamond"/>
              <w:iCs/>
              <w:color w:val="002060"/>
              <w:sz w:val="16"/>
              <w:szCs w:val="16"/>
              <w:lang w:val="id-ID"/>
            </w:rPr>
            <w:t>6</w:t>
          </w:r>
          <w:proofErr w:type="gramEnd"/>
        </w:p>
      </w:tc>
      <w:tc>
        <w:tcPr>
          <w:tcW w:w="446" w:type="pct"/>
          <w:tcBorders>
            <w:top w:val="single" w:sz="4" w:space="0" w:color="C0504D" w:themeColor="accent2"/>
          </w:tcBorders>
          <w:shd w:val="clear" w:color="auto" w:fill="1C568B"/>
        </w:tcPr>
        <w:p w14:paraId="383A482F" w14:textId="77777777" w:rsidR="00081160" w:rsidRPr="00E33720" w:rsidRDefault="00081160" w:rsidP="00081160">
          <w:pPr>
            <w:pStyle w:val="Header"/>
            <w:jc w:val="center"/>
            <w:rPr>
              <w:rFonts w:ascii="Garamond" w:hAnsi="Garamond"/>
              <w:iCs/>
              <w:color w:val="000000" w:themeColor="text1"/>
              <w:sz w:val="16"/>
              <w:szCs w:val="16"/>
            </w:rPr>
          </w:pPr>
          <w:r w:rsidRPr="00E33720">
            <w:rPr>
              <w:rFonts w:ascii="Garamond" w:hAnsi="Garamond"/>
              <w:iCs/>
              <w:color w:val="FFFFFF" w:themeColor="background1"/>
              <w:sz w:val="16"/>
              <w:szCs w:val="16"/>
            </w:rPr>
            <w:fldChar w:fldCharType="begin"/>
          </w:r>
          <w:r w:rsidRPr="00E33720">
            <w:rPr>
              <w:rFonts w:ascii="Garamond" w:hAnsi="Garamond"/>
              <w:iCs/>
              <w:color w:val="FFFFFF" w:themeColor="background1"/>
              <w:sz w:val="16"/>
              <w:szCs w:val="16"/>
            </w:rPr>
            <w:instrText xml:space="preserve"> PAGE   \* MERGEFORMAT </w:instrText>
          </w:r>
          <w:r w:rsidRPr="00E33720">
            <w:rPr>
              <w:rFonts w:ascii="Garamond" w:hAnsi="Garamond"/>
              <w:iCs/>
              <w:color w:val="FFFFFF" w:themeColor="background1"/>
              <w:sz w:val="16"/>
              <w:szCs w:val="16"/>
            </w:rPr>
            <w:fldChar w:fldCharType="separate"/>
          </w:r>
          <w:r>
            <w:rPr>
              <w:rFonts w:ascii="Garamond" w:hAnsi="Garamond"/>
              <w:iCs/>
              <w:color w:val="FFFFFF" w:themeColor="background1"/>
              <w:sz w:val="16"/>
              <w:szCs w:val="16"/>
            </w:rPr>
            <w:t>33</w:t>
          </w:r>
          <w:r w:rsidRPr="00E33720">
            <w:rPr>
              <w:rFonts w:ascii="Garamond" w:hAnsi="Garamond"/>
              <w:iCs/>
              <w:noProof/>
              <w:color w:val="FFFFFF" w:themeColor="background1"/>
              <w:sz w:val="16"/>
              <w:szCs w:val="16"/>
            </w:rPr>
            <w:fldChar w:fldCharType="end"/>
          </w:r>
        </w:p>
      </w:tc>
    </w:tr>
  </w:tbl>
  <w:p w14:paraId="1925469F" w14:textId="77777777" w:rsidR="00F8470F" w:rsidRPr="00081160" w:rsidRDefault="00F8470F" w:rsidP="00081160">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4941" w:type="pct"/>
      <w:tblCellMar>
        <w:top w:w="72" w:type="dxa"/>
        <w:left w:w="115" w:type="dxa"/>
        <w:bottom w:w="72" w:type="dxa"/>
        <w:right w:w="115" w:type="dxa"/>
      </w:tblCellMar>
      <w:tblLook w:val="04A0" w:firstRow="1" w:lastRow="0" w:firstColumn="1" w:lastColumn="0" w:noHBand="0" w:noVBand="1"/>
    </w:tblPr>
    <w:tblGrid>
      <w:gridCol w:w="8885"/>
      <w:gridCol w:w="870"/>
    </w:tblGrid>
    <w:tr w:rsidR="00081160" w:rsidRPr="00E33720" w14:paraId="131E527D" w14:textId="77777777" w:rsidTr="00721E05">
      <w:tc>
        <w:tcPr>
          <w:tcW w:w="4554" w:type="pct"/>
          <w:tcBorders>
            <w:top w:val="single" w:sz="4" w:space="0" w:color="000000" w:themeColor="text1"/>
          </w:tcBorders>
        </w:tcPr>
        <w:p w14:paraId="5360E76A" w14:textId="77777777" w:rsidR="00081160" w:rsidRPr="00E33720" w:rsidRDefault="00000000" w:rsidP="00081160">
          <w:pPr>
            <w:pStyle w:val="Footer"/>
            <w:jc w:val="right"/>
            <w:rPr>
              <w:rFonts w:ascii="Garamond" w:hAnsi="Garamond"/>
              <w:iCs/>
              <w:sz w:val="16"/>
              <w:szCs w:val="16"/>
              <w:lang w:val="id-ID"/>
            </w:rPr>
          </w:pPr>
          <w:sdt>
            <w:sdtPr>
              <w:rPr>
                <w:rStyle w:val="Heading1Char"/>
                <w:rFonts w:ascii="Garamond" w:hAnsi="Garamond"/>
                <w:b w:val="0"/>
                <w:i w:val="0"/>
                <w:iCs/>
                <w:color w:val="0000FF"/>
                <w:sz w:val="16"/>
                <w:szCs w:val="16"/>
              </w:rPr>
              <w:alias w:val="Company"/>
              <w:id w:val="-1320343106"/>
              <w:dataBinding w:prefixMappings="xmlns:ns0='http://schemas.openxmlformats.org/officeDocument/2006/extended-properties'" w:xpath="/ns0:Properties[1]/ns0:Company[1]" w:storeItemID="{6668398D-A668-4E3E-A5EB-62B293D839F1}"/>
              <w:text/>
            </w:sdtPr>
            <w:sdtContent>
              <w:r w:rsidR="00081160" w:rsidRPr="00E33720">
                <w:rPr>
                  <w:rStyle w:val="Heading1Char"/>
                  <w:rFonts w:ascii="Garamond" w:hAnsi="Garamond"/>
                  <w:b w:val="0"/>
                  <w:i w:val="0"/>
                  <w:iCs/>
                  <w:color w:val="0000FF"/>
                  <w:sz w:val="16"/>
                  <w:szCs w:val="16"/>
                </w:rPr>
                <w:t>(https://jurnal.amertainstitute.com/index.php/phoenix</w:t>
              </w:r>
              <w:r w:rsidR="00081160">
                <w:rPr>
                  <w:rStyle w:val="Heading1Char"/>
                  <w:rFonts w:ascii="Garamond" w:hAnsi="Garamond"/>
                  <w:b w:val="0"/>
                  <w:i w:val="0"/>
                  <w:iCs/>
                  <w:color w:val="0000FF"/>
                  <w:sz w:val="16"/>
                  <w:szCs w:val="16"/>
                </w:rPr>
                <w:t>)</w:t>
              </w:r>
            </w:sdtContent>
          </w:sdt>
          <w:r w:rsidR="00081160" w:rsidRPr="00E33720">
            <w:rPr>
              <w:rFonts w:ascii="Garamond" w:hAnsi="Garamond"/>
              <w:iCs/>
              <w:color w:val="002060"/>
              <w:sz w:val="16"/>
              <w:szCs w:val="16"/>
            </w:rPr>
            <w:t xml:space="preserve">| </w:t>
          </w:r>
          <w:r w:rsidR="00081160" w:rsidRPr="00E33720">
            <w:rPr>
              <w:rFonts w:ascii="Garamond" w:hAnsi="Garamond"/>
              <w:iCs/>
              <w:color w:val="002060"/>
              <w:sz w:val="16"/>
              <w:szCs w:val="16"/>
              <w:lang w:val="id-ID"/>
            </w:rPr>
            <w:t xml:space="preserve">Volume </w:t>
          </w:r>
          <w:r w:rsidR="00081160">
            <w:rPr>
              <w:rFonts w:ascii="Garamond" w:hAnsi="Garamond"/>
              <w:iCs/>
              <w:color w:val="002060"/>
              <w:sz w:val="16"/>
              <w:szCs w:val="16"/>
              <w:lang w:val="id-ID"/>
            </w:rPr>
            <w:t>1</w:t>
          </w:r>
          <w:r w:rsidR="00081160" w:rsidRPr="00E33720">
            <w:rPr>
              <w:rFonts w:ascii="Garamond" w:hAnsi="Garamond"/>
              <w:iCs/>
              <w:color w:val="002060"/>
              <w:sz w:val="16"/>
              <w:szCs w:val="16"/>
              <w:lang w:val="id-ID"/>
            </w:rPr>
            <w:t xml:space="preserve"> </w:t>
          </w:r>
          <w:proofErr w:type="spellStart"/>
          <w:r w:rsidR="00081160" w:rsidRPr="00E33720">
            <w:rPr>
              <w:rFonts w:ascii="Garamond" w:hAnsi="Garamond"/>
              <w:iCs/>
              <w:color w:val="002060"/>
              <w:sz w:val="16"/>
              <w:szCs w:val="16"/>
              <w:lang w:val="id-ID"/>
            </w:rPr>
            <w:t>No</w:t>
          </w:r>
          <w:proofErr w:type="spellEnd"/>
          <w:r w:rsidR="00081160" w:rsidRPr="00E33720">
            <w:rPr>
              <w:rFonts w:ascii="Garamond" w:hAnsi="Garamond"/>
              <w:iCs/>
              <w:color w:val="002060"/>
              <w:sz w:val="16"/>
              <w:szCs w:val="16"/>
              <w:lang w:val="id-ID"/>
            </w:rPr>
            <w:t xml:space="preserve"> </w:t>
          </w:r>
          <w:r w:rsidR="00081160">
            <w:rPr>
              <w:rFonts w:ascii="Garamond" w:hAnsi="Garamond"/>
              <w:iCs/>
              <w:color w:val="002060"/>
              <w:sz w:val="16"/>
              <w:szCs w:val="16"/>
              <w:lang w:val="id-ID"/>
            </w:rPr>
            <w:t>1</w:t>
          </w:r>
          <w:r w:rsidR="00081160" w:rsidRPr="00E33720">
            <w:rPr>
              <w:rFonts w:ascii="Garamond" w:hAnsi="Garamond"/>
              <w:iCs/>
              <w:color w:val="002060"/>
              <w:sz w:val="16"/>
              <w:szCs w:val="16"/>
              <w:lang w:val="id-ID"/>
            </w:rPr>
            <w:t xml:space="preserve"> </w:t>
          </w:r>
          <w:proofErr w:type="spellStart"/>
          <w:proofErr w:type="gramStart"/>
          <w:r w:rsidR="00081160" w:rsidRPr="00E33720">
            <w:rPr>
              <w:rFonts w:ascii="Garamond" w:hAnsi="Garamond"/>
              <w:iCs/>
              <w:color w:val="002060"/>
              <w:sz w:val="16"/>
              <w:szCs w:val="16"/>
              <w:lang w:val="id-ID"/>
            </w:rPr>
            <w:t>January</w:t>
          </w:r>
          <w:proofErr w:type="spellEnd"/>
          <w:r w:rsidR="00081160" w:rsidRPr="00E33720">
            <w:rPr>
              <w:rFonts w:ascii="Garamond" w:hAnsi="Garamond"/>
              <w:iCs/>
              <w:color w:val="002060"/>
              <w:sz w:val="16"/>
              <w:szCs w:val="16"/>
              <w:lang w:val="id-ID"/>
            </w:rPr>
            <w:t xml:space="preserve">  202</w:t>
          </w:r>
          <w:r w:rsidR="00081160">
            <w:rPr>
              <w:rFonts w:ascii="Garamond" w:hAnsi="Garamond"/>
              <w:iCs/>
              <w:color w:val="002060"/>
              <w:sz w:val="16"/>
              <w:szCs w:val="16"/>
              <w:lang w:val="id-ID"/>
            </w:rPr>
            <w:t>6</w:t>
          </w:r>
          <w:proofErr w:type="gramEnd"/>
        </w:p>
      </w:tc>
      <w:tc>
        <w:tcPr>
          <w:tcW w:w="446" w:type="pct"/>
          <w:tcBorders>
            <w:top w:val="single" w:sz="4" w:space="0" w:color="C0504D" w:themeColor="accent2"/>
          </w:tcBorders>
          <w:shd w:val="clear" w:color="auto" w:fill="1C568B"/>
        </w:tcPr>
        <w:p w14:paraId="479AA7A5" w14:textId="77777777" w:rsidR="00081160" w:rsidRPr="00E33720" w:rsidRDefault="00081160" w:rsidP="00081160">
          <w:pPr>
            <w:pStyle w:val="Header"/>
            <w:jc w:val="center"/>
            <w:rPr>
              <w:rFonts w:ascii="Garamond" w:hAnsi="Garamond"/>
              <w:iCs/>
              <w:color w:val="000000" w:themeColor="text1"/>
              <w:sz w:val="16"/>
              <w:szCs w:val="16"/>
            </w:rPr>
          </w:pPr>
          <w:r w:rsidRPr="00E33720">
            <w:rPr>
              <w:rFonts w:ascii="Garamond" w:hAnsi="Garamond"/>
              <w:iCs/>
              <w:color w:val="FFFFFF" w:themeColor="background1"/>
              <w:sz w:val="16"/>
              <w:szCs w:val="16"/>
            </w:rPr>
            <w:fldChar w:fldCharType="begin"/>
          </w:r>
          <w:r w:rsidRPr="00E33720">
            <w:rPr>
              <w:rFonts w:ascii="Garamond" w:hAnsi="Garamond"/>
              <w:iCs/>
              <w:color w:val="FFFFFF" w:themeColor="background1"/>
              <w:sz w:val="16"/>
              <w:szCs w:val="16"/>
            </w:rPr>
            <w:instrText xml:space="preserve"> PAGE   \* MERGEFORMAT </w:instrText>
          </w:r>
          <w:r w:rsidRPr="00E33720">
            <w:rPr>
              <w:rFonts w:ascii="Garamond" w:hAnsi="Garamond"/>
              <w:iCs/>
              <w:color w:val="FFFFFF" w:themeColor="background1"/>
              <w:sz w:val="16"/>
              <w:szCs w:val="16"/>
            </w:rPr>
            <w:fldChar w:fldCharType="separate"/>
          </w:r>
          <w:r>
            <w:rPr>
              <w:rFonts w:ascii="Garamond" w:hAnsi="Garamond"/>
              <w:iCs/>
              <w:color w:val="FFFFFF" w:themeColor="background1"/>
              <w:sz w:val="16"/>
              <w:szCs w:val="16"/>
            </w:rPr>
            <w:t>47</w:t>
          </w:r>
          <w:r w:rsidRPr="00E33720">
            <w:rPr>
              <w:rFonts w:ascii="Garamond" w:hAnsi="Garamond"/>
              <w:iCs/>
              <w:noProof/>
              <w:color w:val="FFFFFF" w:themeColor="background1"/>
              <w:sz w:val="16"/>
              <w:szCs w:val="16"/>
            </w:rPr>
            <w:fldChar w:fldCharType="end"/>
          </w:r>
        </w:p>
      </w:tc>
    </w:tr>
  </w:tbl>
  <w:p w14:paraId="499B4E6F" w14:textId="57FBAD60" w:rsidR="0078374F" w:rsidRPr="00081160" w:rsidRDefault="0078374F" w:rsidP="0008116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0B84E35" w14:textId="77777777" w:rsidR="00C9526C" w:rsidRDefault="00C9526C">
      <w:r>
        <w:separator/>
      </w:r>
    </w:p>
  </w:footnote>
  <w:footnote w:type="continuationSeparator" w:id="0">
    <w:p w14:paraId="2A6D7A04" w14:textId="77777777" w:rsidR="00C9526C" w:rsidRDefault="00C95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07E6" w14:textId="310FCBA7" w:rsidR="00F8470F" w:rsidRPr="00D963AF" w:rsidRDefault="00F8470F" w:rsidP="00931D38">
    <w:pPr>
      <w:spacing w:before="76"/>
      <w:ind w:right="13"/>
      <w:jc w:val="right"/>
      <w:rPr>
        <w:color w:val="002060"/>
      </w:rPr>
    </w:pPr>
    <w:r>
      <w:rPr>
        <w:noProof/>
        <w:sz w:val="20"/>
      </w:rPr>
      <w:drawing>
        <wp:anchor distT="0" distB="0" distL="114300" distR="114300" simplePos="0" relativeHeight="251660288" behindDoc="1" locked="0" layoutInCell="1" allowOverlap="1" wp14:anchorId="52E5B9B0" wp14:editId="5211754B">
          <wp:simplePos x="0" y="0"/>
          <wp:positionH relativeFrom="column">
            <wp:posOffset>12065</wp:posOffset>
          </wp:positionH>
          <wp:positionV relativeFrom="paragraph">
            <wp:posOffset>147955</wp:posOffset>
          </wp:positionV>
          <wp:extent cx="184785" cy="184785"/>
          <wp:effectExtent l="0" t="0" r="5715" b="5715"/>
          <wp:wrapNone/>
          <wp:docPr id="2060778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72658" name="Picture 1735872658"/>
                  <pic:cNvPicPr/>
                </pic:nvPicPr>
                <pic:blipFill>
                  <a:blip r:embed="rId1">
                    <a:extLst>
                      <a:ext uri="{28A0092B-C50C-407E-A947-70E740481C1C}">
                        <a14:useLocalDpi xmlns:a14="http://schemas.microsoft.com/office/drawing/2010/main" val="0"/>
                      </a:ext>
                    </a:extLst>
                  </a:blip>
                  <a:stretch>
                    <a:fillRect/>
                  </a:stretch>
                </pic:blipFill>
                <pic:spPr>
                  <a:xfrm>
                    <a:off x="0" y="0"/>
                    <a:ext cx="184785" cy="184785"/>
                  </a:xfrm>
                  <a:prstGeom prst="rect">
                    <a:avLst/>
                  </a:prstGeom>
                </pic:spPr>
              </pic:pic>
            </a:graphicData>
          </a:graphic>
          <wp14:sizeRelH relativeFrom="page">
            <wp14:pctWidth>0</wp14:pctWidth>
          </wp14:sizeRelH>
          <wp14:sizeRelV relativeFrom="page">
            <wp14:pctHeight>0</wp14:pctHeight>
          </wp14:sizeRelV>
        </wp:anchor>
      </w:drawing>
    </w:r>
    <w:hyperlink r:id="rId2">
      <w:r w:rsidRPr="00D963AF">
        <w:rPr>
          <w:color w:val="002060"/>
          <w:w w:val="115"/>
          <w:sz w:val="14"/>
        </w:rPr>
        <w:t xml:space="preserve">Published by </w:t>
      </w:r>
      <w:r w:rsidR="009D4A7B">
        <w:rPr>
          <w:color w:val="002060"/>
          <w:w w:val="115"/>
          <w:sz w:val="14"/>
        </w:rPr>
        <w:t xml:space="preserve">Yayasan </w:t>
      </w:r>
      <w:proofErr w:type="spellStart"/>
      <w:r w:rsidR="009D4A7B">
        <w:rPr>
          <w:color w:val="002060"/>
          <w:w w:val="115"/>
          <w:sz w:val="14"/>
        </w:rPr>
        <w:t>Amerta</w:t>
      </w:r>
      <w:proofErr w:type="spellEnd"/>
      <w:r w:rsidR="009D4A7B">
        <w:rPr>
          <w:color w:val="002060"/>
          <w:w w:val="115"/>
          <w:sz w:val="14"/>
        </w:rPr>
        <w:t xml:space="preserve"> </w:t>
      </w:r>
      <w:proofErr w:type="spellStart"/>
      <w:r w:rsidR="009D4A7B">
        <w:rPr>
          <w:color w:val="002060"/>
          <w:w w:val="115"/>
          <w:sz w:val="14"/>
        </w:rPr>
        <w:t>Insan</w:t>
      </w:r>
      <w:proofErr w:type="spellEnd"/>
      <w:r w:rsidR="009D4A7B">
        <w:rPr>
          <w:color w:val="002060"/>
          <w:w w:val="115"/>
          <w:sz w:val="14"/>
        </w:rPr>
        <w:t xml:space="preserve"> </w:t>
      </w:r>
      <w:proofErr w:type="spellStart"/>
      <w:r w:rsidR="009D4A7B">
        <w:rPr>
          <w:color w:val="002060"/>
          <w:w w:val="115"/>
          <w:sz w:val="14"/>
        </w:rPr>
        <w:t>Unggul</w:t>
      </w:r>
      <w:proofErr w:type="spellEnd"/>
    </w:hyperlink>
  </w:p>
  <w:p w14:paraId="7755C636" w14:textId="3C28D27A" w:rsidR="00F8470F" w:rsidRPr="00D963AF" w:rsidRDefault="00F8470F" w:rsidP="000E38C7">
    <w:pPr>
      <w:spacing w:before="76"/>
      <w:ind w:right="13"/>
      <w:rPr>
        <w:sz w:val="16"/>
        <w:szCs w:val="16"/>
      </w:rPr>
    </w:pPr>
    <w:r>
      <w:rPr>
        <w:sz w:val="20"/>
      </w:rPr>
      <w:t xml:space="preserve">       </w:t>
    </w:r>
    <w:r w:rsidRPr="00D963AF">
      <w:rPr>
        <w:color w:val="002060"/>
        <w:sz w:val="16"/>
        <w:szCs w:val="16"/>
      </w:rPr>
      <w:t>DOI: 10.</w:t>
    </w:r>
    <w:r w:rsidR="009D4A7B">
      <w:rPr>
        <w:color w:val="002060"/>
        <w:sz w:val="16"/>
        <w:szCs w:val="16"/>
      </w:rPr>
      <w:t>65246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EDD198" w14:textId="77777777" w:rsidR="00081160" w:rsidRPr="00D963AF" w:rsidRDefault="00081160" w:rsidP="00081160">
    <w:pPr>
      <w:spacing w:before="76"/>
      <w:ind w:right="13"/>
      <w:jc w:val="right"/>
      <w:rPr>
        <w:color w:val="002060"/>
      </w:rPr>
    </w:pPr>
    <w:r>
      <w:rPr>
        <w:noProof/>
        <w:sz w:val="20"/>
      </w:rPr>
      <w:drawing>
        <wp:anchor distT="0" distB="0" distL="114300" distR="114300" simplePos="0" relativeHeight="251662336" behindDoc="1" locked="0" layoutInCell="1" allowOverlap="1" wp14:anchorId="2BA447D3" wp14:editId="58644331">
          <wp:simplePos x="0" y="0"/>
          <wp:positionH relativeFrom="column">
            <wp:posOffset>12065</wp:posOffset>
          </wp:positionH>
          <wp:positionV relativeFrom="paragraph">
            <wp:posOffset>147955</wp:posOffset>
          </wp:positionV>
          <wp:extent cx="184785" cy="184785"/>
          <wp:effectExtent l="0" t="0" r="5715" b="5715"/>
          <wp:wrapNone/>
          <wp:docPr id="11008112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72658" name="Picture 1735872658"/>
                  <pic:cNvPicPr/>
                </pic:nvPicPr>
                <pic:blipFill>
                  <a:blip r:embed="rId1">
                    <a:extLst>
                      <a:ext uri="{28A0092B-C50C-407E-A947-70E740481C1C}">
                        <a14:useLocalDpi xmlns:a14="http://schemas.microsoft.com/office/drawing/2010/main" val="0"/>
                      </a:ext>
                    </a:extLst>
                  </a:blip>
                  <a:stretch>
                    <a:fillRect/>
                  </a:stretch>
                </pic:blipFill>
                <pic:spPr>
                  <a:xfrm>
                    <a:off x="0" y="0"/>
                    <a:ext cx="184785" cy="184785"/>
                  </a:xfrm>
                  <a:prstGeom prst="rect">
                    <a:avLst/>
                  </a:prstGeom>
                </pic:spPr>
              </pic:pic>
            </a:graphicData>
          </a:graphic>
          <wp14:sizeRelH relativeFrom="page">
            <wp14:pctWidth>0</wp14:pctWidth>
          </wp14:sizeRelH>
          <wp14:sizeRelV relativeFrom="page">
            <wp14:pctHeight>0</wp14:pctHeight>
          </wp14:sizeRelV>
        </wp:anchor>
      </w:drawing>
    </w:r>
    <w:hyperlink r:id="rId2">
      <w:r w:rsidRPr="00D963AF">
        <w:rPr>
          <w:color w:val="002060"/>
          <w:w w:val="115"/>
          <w:sz w:val="14"/>
        </w:rPr>
        <w:t xml:space="preserve">Published by </w:t>
      </w:r>
      <w:r>
        <w:rPr>
          <w:color w:val="002060"/>
          <w:w w:val="115"/>
          <w:sz w:val="14"/>
        </w:rPr>
        <w:t xml:space="preserve">Yayasan </w:t>
      </w:r>
      <w:proofErr w:type="spellStart"/>
      <w:r>
        <w:rPr>
          <w:color w:val="002060"/>
          <w:w w:val="115"/>
          <w:sz w:val="14"/>
        </w:rPr>
        <w:t>Amerta</w:t>
      </w:r>
      <w:proofErr w:type="spellEnd"/>
      <w:r>
        <w:rPr>
          <w:color w:val="002060"/>
          <w:w w:val="115"/>
          <w:sz w:val="14"/>
        </w:rPr>
        <w:t xml:space="preserve"> </w:t>
      </w:r>
      <w:proofErr w:type="spellStart"/>
      <w:r>
        <w:rPr>
          <w:color w:val="002060"/>
          <w:w w:val="115"/>
          <w:sz w:val="14"/>
        </w:rPr>
        <w:t>Insan</w:t>
      </w:r>
      <w:proofErr w:type="spellEnd"/>
      <w:r>
        <w:rPr>
          <w:color w:val="002060"/>
          <w:w w:val="115"/>
          <w:sz w:val="14"/>
        </w:rPr>
        <w:t xml:space="preserve"> </w:t>
      </w:r>
      <w:proofErr w:type="spellStart"/>
      <w:r>
        <w:rPr>
          <w:color w:val="002060"/>
          <w:w w:val="115"/>
          <w:sz w:val="14"/>
        </w:rPr>
        <w:t>Unggul</w:t>
      </w:r>
      <w:proofErr w:type="spellEnd"/>
    </w:hyperlink>
  </w:p>
  <w:p w14:paraId="67CB66CA" w14:textId="19728AF7" w:rsidR="00194D72" w:rsidRPr="00081160" w:rsidRDefault="00081160" w:rsidP="000E38C7">
    <w:pPr>
      <w:spacing w:before="76"/>
      <w:ind w:right="13"/>
      <w:rPr>
        <w:sz w:val="16"/>
        <w:szCs w:val="16"/>
      </w:rPr>
    </w:pPr>
    <w:r>
      <w:rPr>
        <w:sz w:val="20"/>
      </w:rPr>
      <w:t xml:space="preserve">       </w:t>
    </w:r>
    <w:r w:rsidRPr="00D963AF">
      <w:rPr>
        <w:color w:val="002060"/>
        <w:sz w:val="16"/>
        <w:szCs w:val="16"/>
      </w:rPr>
      <w:t>DOI: 10.</w:t>
    </w:r>
    <w:r>
      <w:rPr>
        <w:color w:val="002060"/>
        <w:sz w:val="16"/>
        <w:szCs w:val="16"/>
      </w:rPr>
      <w:t>65246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695E09"/>
    <w:multiLevelType w:val="multilevel"/>
    <w:tmpl w:val="754C62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452496"/>
    <w:multiLevelType w:val="multilevel"/>
    <w:tmpl w:val="79CAB65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CFC5231"/>
    <w:multiLevelType w:val="multilevel"/>
    <w:tmpl w:val="C91EF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B471B"/>
    <w:multiLevelType w:val="multilevel"/>
    <w:tmpl w:val="95CE665C"/>
    <w:lvl w:ilvl="0">
      <w:start w:val="4"/>
      <w:numFmt w:val="decimal"/>
      <w:lvlText w:val="%1"/>
      <w:lvlJc w:val="left"/>
      <w:pPr>
        <w:ind w:left="360" w:hanging="360"/>
      </w:pPr>
      <w:rPr>
        <w:rFonts w:hint="default"/>
        <w:sz w:val="22"/>
      </w:rPr>
    </w:lvl>
    <w:lvl w:ilvl="1">
      <w:start w:val="1"/>
      <w:numFmt w:val="decimal"/>
      <w:lvlText w:val="%1.%2"/>
      <w:lvlJc w:val="left"/>
      <w:pPr>
        <w:ind w:left="720" w:hanging="360"/>
      </w:pPr>
      <w:rPr>
        <w:rFonts w:hint="default"/>
        <w:b/>
        <w:bCs/>
        <w:color w:val="000000" w:themeColor="text1"/>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6"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E14A7"/>
    <w:multiLevelType w:val="hybridMultilevel"/>
    <w:tmpl w:val="1CEE3FE8"/>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113672E7"/>
    <w:multiLevelType w:val="multilevel"/>
    <w:tmpl w:val="95CE665C"/>
    <w:lvl w:ilvl="0">
      <w:start w:val="4"/>
      <w:numFmt w:val="decimal"/>
      <w:lvlText w:val="%1"/>
      <w:lvlJc w:val="left"/>
      <w:pPr>
        <w:ind w:left="360" w:hanging="360"/>
      </w:pPr>
      <w:rPr>
        <w:rFonts w:hint="default"/>
        <w:sz w:val="22"/>
      </w:rPr>
    </w:lvl>
    <w:lvl w:ilvl="1">
      <w:start w:val="1"/>
      <w:numFmt w:val="decimal"/>
      <w:lvlText w:val="%1.%2"/>
      <w:lvlJc w:val="left"/>
      <w:pPr>
        <w:ind w:left="720" w:hanging="360"/>
      </w:pPr>
      <w:rPr>
        <w:rFonts w:hint="default"/>
        <w:b/>
        <w:bCs/>
        <w:color w:val="000000" w:themeColor="text1"/>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9" w15:restartNumberingAfterBreak="0">
    <w:nsid w:val="177B105B"/>
    <w:multiLevelType w:val="hybridMultilevel"/>
    <w:tmpl w:val="89A60B50"/>
    <w:lvl w:ilvl="0" w:tplc="476210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45DCB"/>
    <w:multiLevelType w:val="multilevel"/>
    <w:tmpl w:val="1D1C2092"/>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B2108FA"/>
    <w:multiLevelType w:val="multilevel"/>
    <w:tmpl w:val="31C4B8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A30065"/>
    <w:multiLevelType w:val="multilevel"/>
    <w:tmpl w:val="A434F070"/>
    <w:lvl w:ilvl="0">
      <w:start w:val="1"/>
      <w:numFmt w:val="decimal"/>
      <w:lvlText w:val="%1."/>
      <w:lvlJc w:val="left"/>
      <w:pPr>
        <w:tabs>
          <w:tab w:val="num" w:pos="4472"/>
        </w:tabs>
        <w:ind w:left="447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D2766E"/>
    <w:multiLevelType w:val="multilevel"/>
    <w:tmpl w:val="6C7EA14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4" w15:restartNumberingAfterBreak="0">
    <w:nsid w:val="1BFF2BEE"/>
    <w:multiLevelType w:val="multilevel"/>
    <w:tmpl w:val="E84A1AD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C715DB2"/>
    <w:multiLevelType w:val="multilevel"/>
    <w:tmpl w:val="87FEBA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F00C8C"/>
    <w:multiLevelType w:val="hybridMultilevel"/>
    <w:tmpl w:val="0ACA4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0C4D8D"/>
    <w:multiLevelType w:val="multilevel"/>
    <w:tmpl w:val="E35869C2"/>
    <w:lvl w:ilvl="0">
      <w:start w:val="4"/>
      <w:numFmt w:val="decimal"/>
      <w:lvlText w:val="%1"/>
      <w:lvlJc w:val="left"/>
      <w:pPr>
        <w:ind w:left="360" w:hanging="360"/>
      </w:pPr>
      <w:rPr>
        <w:rFonts w:ascii="Times New Roman" w:hAnsi="Times New Roman" w:hint="default"/>
        <w:b/>
        <w:color w:val="auto"/>
      </w:rPr>
    </w:lvl>
    <w:lvl w:ilvl="1">
      <w:start w:val="2"/>
      <w:numFmt w:val="decimal"/>
      <w:lvlText w:val="%1.%2"/>
      <w:lvlJc w:val="left"/>
      <w:pPr>
        <w:ind w:left="720" w:hanging="360"/>
      </w:pPr>
      <w:rPr>
        <w:rFonts w:ascii="Times New Roman" w:hAnsi="Times New Roman" w:hint="default"/>
        <w:b/>
        <w:color w:val="auto"/>
      </w:rPr>
    </w:lvl>
    <w:lvl w:ilvl="2">
      <w:start w:val="1"/>
      <w:numFmt w:val="decimal"/>
      <w:lvlText w:val="%1.%2.%3"/>
      <w:lvlJc w:val="left"/>
      <w:pPr>
        <w:ind w:left="1440" w:hanging="720"/>
      </w:pPr>
      <w:rPr>
        <w:rFonts w:ascii="Times New Roman" w:hAnsi="Times New Roman" w:hint="default"/>
        <w:b/>
        <w:color w:val="auto"/>
      </w:rPr>
    </w:lvl>
    <w:lvl w:ilvl="3">
      <w:start w:val="1"/>
      <w:numFmt w:val="decimal"/>
      <w:lvlText w:val="%1.%2.%3.%4"/>
      <w:lvlJc w:val="left"/>
      <w:pPr>
        <w:ind w:left="1800" w:hanging="720"/>
      </w:pPr>
      <w:rPr>
        <w:rFonts w:ascii="Times New Roman" w:hAnsi="Times New Roman" w:hint="default"/>
        <w:b/>
        <w:color w:val="auto"/>
      </w:rPr>
    </w:lvl>
    <w:lvl w:ilvl="4">
      <w:start w:val="1"/>
      <w:numFmt w:val="decimal"/>
      <w:lvlText w:val="%1.%2.%3.%4.%5"/>
      <w:lvlJc w:val="left"/>
      <w:pPr>
        <w:ind w:left="2520" w:hanging="1080"/>
      </w:pPr>
      <w:rPr>
        <w:rFonts w:ascii="Times New Roman" w:hAnsi="Times New Roman" w:hint="default"/>
        <w:b/>
        <w:color w:val="auto"/>
      </w:rPr>
    </w:lvl>
    <w:lvl w:ilvl="5">
      <w:start w:val="1"/>
      <w:numFmt w:val="decimal"/>
      <w:lvlText w:val="%1.%2.%3.%4.%5.%6"/>
      <w:lvlJc w:val="left"/>
      <w:pPr>
        <w:ind w:left="2880" w:hanging="1080"/>
      </w:pPr>
      <w:rPr>
        <w:rFonts w:ascii="Times New Roman" w:hAnsi="Times New Roman" w:hint="default"/>
        <w:b/>
        <w:color w:val="auto"/>
      </w:rPr>
    </w:lvl>
    <w:lvl w:ilvl="6">
      <w:start w:val="1"/>
      <w:numFmt w:val="decimal"/>
      <w:lvlText w:val="%1.%2.%3.%4.%5.%6.%7"/>
      <w:lvlJc w:val="left"/>
      <w:pPr>
        <w:ind w:left="3600" w:hanging="1440"/>
      </w:pPr>
      <w:rPr>
        <w:rFonts w:ascii="Times New Roman" w:hAnsi="Times New Roman" w:hint="default"/>
        <w:b/>
        <w:color w:val="auto"/>
      </w:rPr>
    </w:lvl>
    <w:lvl w:ilvl="7">
      <w:start w:val="1"/>
      <w:numFmt w:val="decimal"/>
      <w:lvlText w:val="%1.%2.%3.%4.%5.%6.%7.%8"/>
      <w:lvlJc w:val="left"/>
      <w:pPr>
        <w:ind w:left="3960" w:hanging="1440"/>
      </w:pPr>
      <w:rPr>
        <w:rFonts w:ascii="Times New Roman" w:hAnsi="Times New Roman" w:hint="default"/>
        <w:b/>
        <w:color w:val="auto"/>
      </w:rPr>
    </w:lvl>
    <w:lvl w:ilvl="8">
      <w:start w:val="1"/>
      <w:numFmt w:val="decimal"/>
      <w:lvlText w:val="%1.%2.%3.%4.%5.%6.%7.%8.%9"/>
      <w:lvlJc w:val="left"/>
      <w:pPr>
        <w:ind w:left="4680" w:hanging="1800"/>
      </w:pPr>
      <w:rPr>
        <w:rFonts w:ascii="Times New Roman" w:hAnsi="Times New Roman" w:hint="default"/>
        <w:b/>
        <w:color w:val="auto"/>
      </w:rPr>
    </w:lvl>
  </w:abstractNum>
  <w:abstractNum w:abstractNumId="18" w15:restartNumberingAfterBreak="0">
    <w:nsid w:val="24115CA2"/>
    <w:multiLevelType w:val="hybridMultilevel"/>
    <w:tmpl w:val="0796435E"/>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27BC1457"/>
    <w:multiLevelType w:val="hybridMultilevel"/>
    <w:tmpl w:val="0400F5C2"/>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29304D75"/>
    <w:multiLevelType w:val="multilevel"/>
    <w:tmpl w:val="ABF217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893E71"/>
    <w:multiLevelType w:val="hybridMultilevel"/>
    <w:tmpl w:val="51DCF5A0"/>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3F7071AA"/>
    <w:multiLevelType w:val="hybridMultilevel"/>
    <w:tmpl w:val="9B8A7A00"/>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3" w15:restartNumberingAfterBreak="0">
    <w:nsid w:val="3FAC7355"/>
    <w:multiLevelType w:val="multilevel"/>
    <w:tmpl w:val="B3E014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2A57A4"/>
    <w:multiLevelType w:val="hybridMultilevel"/>
    <w:tmpl w:val="26CA8D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5034BBD"/>
    <w:multiLevelType w:val="hybridMultilevel"/>
    <w:tmpl w:val="6B724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8A23776"/>
    <w:multiLevelType w:val="hybridMultilevel"/>
    <w:tmpl w:val="E20ED3CA"/>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15:restartNumberingAfterBreak="0">
    <w:nsid w:val="4A142B54"/>
    <w:multiLevelType w:val="hybridMultilevel"/>
    <w:tmpl w:val="04C2EDE8"/>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15:restartNumberingAfterBreak="0">
    <w:nsid w:val="4D02138C"/>
    <w:multiLevelType w:val="multilevel"/>
    <w:tmpl w:val="5DF0220A"/>
    <w:lvl w:ilvl="0">
      <w:start w:val="4"/>
      <w:numFmt w:val="decimal"/>
      <w:lvlText w:val="%1"/>
      <w:lvlJc w:val="left"/>
      <w:pPr>
        <w:ind w:left="380" w:hanging="380"/>
      </w:pPr>
      <w:rPr>
        <w:rFonts w:hint="default"/>
      </w:rPr>
    </w:lvl>
    <w:lvl w:ilvl="1">
      <w:start w:val="1"/>
      <w:numFmt w:val="decimal"/>
      <w:lvlText w:val="%1.%2"/>
      <w:lvlJc w:val="left"/>
      <w:pPr>
        <w:ind w:left="517" w:hanging="380"/>
      </w:pPr>
      <w:rPr>
        <w:rFonts w:hint="default"/>
        <w:b/>
        <w:bCs/>
        <w:color w:val="000000" w:themeColor="text1"/>
      </w:rPr>
    </w:lvl>
    <w:lvl w:ilvl="2">
      <w:start w:val="1"/>
      <w:numFmt w:val="decimal"/>
      <w:lvlText w:val="%1.%2.%3"/>
      <w:lvlJc w:val="left"/>
      <w:pPr>
        <w:ind w:left="994" w:hanging="720"/>
      </w:pPr>
      <w:rPr>
        <w:rFonts w:hint="default"/>
        <w:b w:val="0"/>
        <w:bCs/>
        <w:color w:val="002060"/>
      </w:rPr>
    </w:lvl>
    <w:lvl w:ilvl="3">
      <w:start w:val="1"/>
      <w:numFmt w:val="decimal"/>
      <w:lvlText w:val="%1.%2.%3.%4"/>
      <w:lvlJc w:val="left"/>
      <w:pPr>
        <w:ind w:left="1491" w:hanging="108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2125" w:hanging="1440"/>
      </w:pPr>
      <w:rPr>
        <w:rFonts w:hint="default"/>
      </w:rPr>
    </w:lvl>
    <w:lvl w:ilvl="6">
      <w:start w:val="1"/>
      <w:numFmt w:val="decimal"/>
      <w:lvlText w:val="%1.%2.%3.%4.%5.%6.%7"/>
      <w:lvlJc w:val="left"/>
      <w:pPr>
        <w:ind w:left="2262" w:hanging="1440"/>
      </w:pPr>
      <w:rPr>
        <w:rFonts w:hint="default"/>
      </w:rPr>
    </w:lvl>
    <w:lvl w:ilvl="7">
      <w:start w:val="1"/>
      <w:numFmt w:val="decimal"/>
      <w:lvlText w:val="%1.%2.%3.%4.%5.%6.%7.%8"/>
      <w:lvlJc w:val="left"/>
      <w:pPr>
        <w:ind w:left="2759" w:hanging="1800"/>
      </w:pPr>
      <w:rPr>
        <w:rFonts w:hint="default"/>
      </w:rPr>
    </w:lvl>
    <w:lvl w:ilvl="8">
      <w:start w:val="1"/>
      <w:numFmt w:val="decimal"/>
      <w:lvlText w:val="%1.%2.%3.%4.%5.%6.%7.%8.%9"/>
      <w:lvlJc w:val="left"/>
      <w:pPr>
        <w:ind w:left="2896" w:hanging="1800"/>
      </w:pPr>
      <w:rPr>
        <w:rFonts w:hint="default"/>
      </w:rPr>
    </w:lvl>
  </w:abstractNum>
  <w:abstractNum w:abstractNumId="29" w15:restartNumberingAfterBreak="0">
    <w:nsid w:val="4FFD6E21"/>
    <w:multiLevelType w:val="hybridMultilevel"/>
    <w:tmpl w:val="03120580"/>
    <w:lvl w:ilvl="0" w:tplc="D2768F74">
      <w:start w:val="1"/>
      <w:numFmt w:val="decimal"/>
      <w:lvlText w:val="%1."/>
      <w:lvlJc w:val="left"/>
      <w:pPr>
        <w:ind w:left="720" w:hanging="360"/>
      </w:pPr>
      <w:rPr>
        <w:rFonts w:hint="default"/>
        <w:b/>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4F2DDD"/>
    <w:multiLevelType w:val="hybridMultilevel"/>
    <w:tmpl w:val="5D16A7A4"/>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57FE7605"/>
    <w:multiLevelType w:val="multilevel"/>
    <w:tmpl w:val="21707CFA"/>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5D100593"/>
    <w:multiLevelType w:val="hybridMultilevel"/>
    <w:tmpl w:val="FF52A91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2EA7EB0"/>
    <w:multiLevelType w:val="multilevel"/>
    <w:tmpl w:val="F67C7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AF63A5"/>
    <w:multiLevelType w:val="multilevel"/>
    <w:tmpl w:val="1372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CC5CE8"/>
    <w:multiLevelType w:val="hybridMultilevel"/>
    <w:tmpl w:val="152EFFC6"/>
    <w:lvl w:ilvl="0" w:tplc="04090003">
      <w:start w:val="1"/>
      <w:numFmt w:val="bullet"/>
      <w:lvlText w:val="o"/>
      <w:lvlJc w:val="left"/>
      <w:pPr>
        <w:ind w:left="1146" w:hanging="360"/>
      </w:pPr>
      <w:rPr>
        <w:rFonts w:ascii="Courier New" w:hAnsi="Courier New"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6" w15:restartNumberingAfterBreak="0">
    <w:nsid w:val="6C0130AB"/>
    <w:multiLevelType w:val="hybridMultilevel"/>
    <w:tmpl w:val="A1BC364A"/>
    <w:lvl w:ilvl="0" w:tplc="4762104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25268B"/>
    <w:multiLevelType w:val="multilevel"/>
    <w:tmpl w:val="DADCC41E"/>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F321194"/>
    <w:multiLevelType w:val="multilevel"/>
    <w:tmpl w:val="0BAE8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4C2894"/>
    <w:multiLevelType w:val="multilevel"/>
    <w:tmpl w:val="05248B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2831794">
    <w:abstractNumId w:val="0"/>
  </w:num>
  <w:num w:numId="2" w16cid:durableId="988091807">
    <w:abstractNumId w:val="29"/>
  </w:num>
  <w:num w:numId="3" w16cid:durableId="1067068080">
    <w:abstractNumId w:val="2"/>
  </w:num>
  <w:num w:numId="4" w16cid:durableId="1223099036">
    <w:abstractNumId w:val="6"/>
  </w:num>
  <w:num w:numId="5" w16cid:durableId="442846329">
    <w:abstractNumId w:val="25"/>
  </w:num>
  <w:num w:numId="6" w16cid:durableId="480928263">
    <w:abstractNumId w:val="24"/>
  </w:num>
  <w:num w:numId="7" w16cid:durableId="95029530">
    <w:abstractNumId w:val="31"/>
  </w:num>
  <w:num w:numId="8" w16cid:durableId="1424036357">
    <w:abstractNumId w:val="13"/>
  </w:num>
  <w:num w:numId="9" w16cid:durableId="1340082461">
    <w:abstractNumId w:val="17"/>
  </w:num>
  <w:num w:numId="10" w16cid:durableId="791091863">
    <w:abstractNumId w:val="8"/>
  </w:num>
  <w:num w:numId="11" w16cid:durableId="1729570462">
    <w:abstractNumId w:val="14"/>
  </w:num>
  <w:num w:numId="12" w16cid:durableId="2143422070">
    <w:abstractNumId w:val="38"/>
  </w:num>
  <w:num w:numId="13" w16cid:durableId="791484115">
    <w:abstractNumId w:val="11"/>
  </w:num>
  <w:num w:numId="14" w16cid:durableId="1290281752">
    <w:abstractNumId w:val="15"/>
  </w:num>
  <w:num w:numId="15" w16cid:durableId="1102802374">
    <w:abstractNumId w:val="4"/>
  </w:num>
  <w:num w:numId="16" w16cid:durableId="1812213221">
    <w:abstractNumId w:val="39"/>
  </w:num>
  <w:num w:numId="17" w16cid:durableId="1192114321">
    <w:abstractNumId w:val="20"/>
  </w:num>
  <w:num w:numId="18" w16cid:durableId="388767999">
    <w:abstractNumId w:val="1"/>
  </w:num>
  <w:num w:numId="19" w16cid:durableId="142624081">
    <w:abstractNumId w:val="23"/>
  </w:num>
  <w:num w:numId="20" w16cid:durableId="92169103">
    <w:abstractNumId w:val="33"/>
  </w:num>
  <w:num w:numId="21" w16cid:durableId="1222331974">
    <w:abstractNumId w:val="9"/>
  </w:num>
  <w:num w:numId="22" w16cid:durableId="1361777847">
    <w:abstractNumId w:val="36"/>
  </w:num>
  <w:num w:numId="23" w16cid:durableId="2137527448">
    <w:abstractNumId w:val="27"/>
  </w:num>
  <w:num w:numId="24" w16cid:durableId="1508444714">
    <w:abstractNumId w:val="7"/>
  </w:num>
  <w:num w:numId="25" w16cid:durableId="1624506656">
    <w:abstractNumId w:val="26"/>
  </w:num>
  <w:num w:numId="26" w16cid:durableId="1011680631">
    <w:abstractNumId w:val="30"/>
  </w:num>
  <w:num w:numId="27" w16cid:durableId="816071064">
    <w:abstractNumId w:val="21"/>
  </w:num>
  <w:num w:numId="28" w16cid:durableId="74322613">
    <w:abstractNumId w:val="35"/>
  </w:num>
  <w:num w:numId="29" w16cid:durableId="1900050191">
    <w:abstractNumId w:val="22"/>
  </w:num>
  <w:num w:numId="30" w16cid:durableId="1966544153">
    <w:abstractNumId w:val="18"/>
  </w:num>
  <w:num w:numId="31" w16cid:durableId="406652124">
    <w:abstractNumId w:val="19"/>
  </w:num>
  <w:num w:numId="32" w16cid:durableId="1215702300">
    <w:abstractNumId w:val="32"/>
  </w:num>
  <w:num w:numId="33" w16cid:durableId="599871832">
    <w:abstractNumId w:val="3"/>
  </w:num>
  <w:num w:numId="34" w16cid:durableId="1981111872">
    <w:abstractNumId w:val="34"/>
  </w:num>
  <w:num w:numId="35" w16cid:durableId="1546405706">
    <w:abstractNumId w:val="12"/>
  </w:num>
  <w:num w:numId="36" w16cid:durableId="821389055">
    <w:abstractNumId w:val="16"/>
  </w:num>
  <w:num w:numId="37" w16cid:durableId="682630495">
    <w:abstractNumId w:val="37"/>
  </w:num>
  <w:num w:numId="38" w16cid:durableId="85880206">
    <w:abstractNumId w:val="10"/>
  </w:num>
  <w:num w:numId="39" w16cid:durableId="1808158735">
    <w:abstractNumId w:val="28"/>
  </w:num>
  <w:num w:numId="40" w16cid:durableId="56094732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6"/>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637C"/>
    <w:rsid w:val="00017BCC"/>
    <w:rsid w:val="000215C2"/>
    <w:rsid w:val="000242A9"/>
    <w:rsid w:val="00043FA5"/>
    <w:rsid w:val="00073932"/>
    <w:rsid w:val="00081160"/>
    <w:rsid w:val="00093363"/>
    <w:rsid w:val="00093837"/>
    <w:rsid w:val="000976F3"/>
    <w:rsid w:val="000A1F1A"/>
    <w:rsid w:val="000D2971"/>
    <w:rsid w:val="000D5657"/>
    <w:rsid w:val="000E38C7"/>
    <w:rsid w:val="000E4BDA"/>
    <w:rsid w:val="000F0D9F"/>
    <w:rsid w:val="000F41A8"/>
    <w:rsid w:val="000F58C6"/>
    <w:rsid w:val="000F7081"/>
    <w:rsid w:val="0014522D"/>
    <w:rsid w:val="00155A8C"/>
    <w:rsid w:val="00162FEA"/>
    <w:rsid w:val="0018017F"/>
    <w:rsid w:val="0018073D"/>
    <w:rsid w:val="001833B5"/>
    <w:rsid w:val="00186F18"/>
    <w:rsid w:val="0019372E"/>
    <w:rsid w:val="00194D72"/>
    <w:rsid w:val="001D7F82"/>
    <w:rsid w:val="001E45E4"/>
    <w:rsid w:val="001F6BD4"/>
    <w:rsid w:val="00201B74"/>
    <w:rsid w:val="00203B5F"/>
    <w:rsid w:val="0021008A"/>
    <w:rsid w:val="00214280"/>
    <w:rsid w:val="002241B8"/>
    <w:rsid w:val="002365AD"/>
    <w:rsid w:val="00240055"/>
    <w:rsid w:val="00252060"/>
    <w:rsid w:val="00255F48"/>
    <w:rsid w:val="0026234A"/>
    <w:rsid w:val="00262B9B"/>
    <w:rsid w:val="0028743E"/>
    <w:rsid w:val="002923C9"/>
    <w:rsid w:val="002C6872"/>
    <w:rsid w:val="002D4D5B"/>
    <w:rsid w:val="002D5541"/>
    <w:rsid w:val="00322C59"/>
    <w:rsid w:val="00324AFE"/>
    <w:rsid w:val="00336B34"/>
    <w:rsid w:val="003443FF"/>
    <w:rsid w:val="003451AD"/>
    <w:rsid w:val="00353C44"/>
    <w:rsid w:val="00357237"/>
    <w:rsid w:val="00371A75"/>
    <w:rsid w:val="00372964"/>
    <w:rsid w:val="00373E55"/>
    <w:rsid w:val="00385BE0"/>
    <w:rsid w:val="00391045"/>
    <w:rsid w:val="0039722D"/>
    <w:rsid w:val="003A6CA3"/>
    <w:rsid w:val="003C1206"/>
    <w:rsid w:val="003C2369"/>
    <w:rsid w:val="003D0B36"/>
    <w:rsid w:val="003F5B7A"/>
    <w:rsid w:val="00412809"/>
    <w:rsid w:val="0042595E"/>
    <w:rsid w:val="0043345B"/>
    <w:rsid w:val="00435DA1"/>
    <w:rsid w:val="00437DA7"/>
    <w:rsid w:val="00446662"/>
    <w:rsid w:val="00452CA4"/>
    <w:rsid w:val="00472A9A"/>
    <w:rsid w:val="00491791"/>
    <w:rsid w:val="00492D5F"/>
    <w:rsid w:val="004A6B49"/>
    <w:rsid w:val="004C069B"/>
    <w:rsid w:val="004C2D70"/>
    <w:rsid w:val="004C5327"/>
    <w:rsid w:val="004D79E8"/>
    <w:rsid w:val="004E49C1"/>
    <w:rsid w:val="00526C59"/>
    <w:rsid w:val="00533AE5"/>
    <w:rsid w:val="00540055"/>
    <w:rsid w:val="00541D2A"/>
    <w:rsid w:val="00573178"/>
    <w:rsid w:val="00574DFE"/>
    <w:rsid w:val="005B4F7B"/>
    <w:rsid w:val="005C4D22"/>
    <w:rsid w:val="005D04D2"/>
    <w:rsid w:val="005D2D86"/>
    <w:rsid w:val="005E088E"/>
    <w:rsid w:val="006011EF"/>
    <w:rsid w:val="006017BF"/>
    <w:rsid w:val="00616F9C"/>
    <w:rsid w:val="00621E3D"/>
    <w:rsid w:val="00626B57"/>
    <w:rsid w:val="00627724"/>
    <w:rsid w:val="006334B2"/>
    <w:rsid w:val="006459CF"/>
    <w:rsid w:val="00651D88"/>
    <w:rsid w:val="006605DD"/>
    <w:rsid w:val="006623C6"/>
    <w:rsid w:val="006636B1"/>
    <w:rsid w:val="006908B7"/>
    <w:rsid w:val="00690B4F"/>
    <w:rsid w:val="00693D2C"/>
    <w:rsid w:val="00695C81"/>
    <w:rsid w:val="006B1B06"/>
    <w:rsid w:val="006B7C10"/>
    <w:rsid w:val="006E0D45"/>
    <w:rsid w:val="006F0D70"/>
    <w:rsid w:val="0070436C"/>
    <w:rsid w:val="00704E60"/>
    <w:rsid w:val="00713F5B"/>
    <w:rsid w:val="0071733B"/>
    <w:rsid w:val="007201BA"/>
    <w:rsid w:val="0072691A"/>
    <w:rsid w:val="007432C2"/>
    <w:rsid w:val="00775393"/>
    <w:rsid w:val="0078374F"/>
    <w:rsid w:val="0078636E"/>
    <w:rsid w:val="00786EE0"/>
    <w:rsid w:val="007A0CBD"/>
    <w:rsid w:val="007C6F8F"/>
    <w:rsid w:val="007D1129"/>
    <w:rsid w:val="007F0203"/>
    <w:rsid w:val="007F28F2"/>
    <w:rsid w:val="0080184F"/>
    <w:rsid w:val="00803587"/>
    <w:rsid w:val="008045B5"/>
    <w:rsid w:val="00812D00"/>
    <w:rsid w:val="00824144"/>
    <w:rsid w:val="0083183D"/>
    <w:rsid w:val="008335C4"/>
    <w:rsid w:val="0084586B"/>
    <w:rsid w:val="00855853"/>
    <w:rsid w:val="008774E8"/>
    <w:rsid w:val="00883B22"/>
    <w:rsid w:val="00890E4C"/>
    <w:rsid w:val="008D0495"/>
    <w:rsid w:val="008D17DA"/>
    <w:rsid w:val="008E571E"/>
    <w:rsid w:val="008F2A94"/>
    <w:rsid w:val="008F764E"/>
    <w:rsid w:val="009243FC"/>
    <w:rsid w:val="009331BC"/>
    <w:rsid w:val="00945B8B"/>
    <w:rsid w:val="009827FC"/>
    <w:rsid w:val="0099047D"/>
    <w:rsid w:val="00992446"/>
    <w:rsid w:val="009B0F5F"/>
    <w:rsid w:val="009C04F5"/>
    <w:rsid w:val="009D4A7B"/>
    <w:rsid w:val="009D6F43"/>
    <w:rsid w:val="009E11D1"/>
    <w:rsid w:val="009E1976"/>
    <w:rsid w:val="009E4505"/>
    <w:rsid w:val="009F0DC3"/>
    <w:rsid w:val="009F3609"/>
    <w:rsid w:val="00A00F0D"/>
    <w:rsid w:val="00A03ECE"/>
    <w:rsid w:val="00A05948"/>
    <w:rsid w:val="00A24BD9"/>
    <w:rsid w:val="00A258BC"/>
    <w:rsid w:val="00A43921"/>
    <w:rsid w:val="00A52065"/>
    <w:rsid w:val="00A55260"/>
    <w:rsid w:val="00A72B34"/>
    <w:rsid w:val="00A916F4"/>
    <w:rsid w:val="00A9540A"/>
    <w:rsid w:val="00AA5EE5"/>
    <w:rsid w:val="00AA6D9C"/>
    <w:rsid w:val="00AB06C5"/>
    <w:rsid w:val="00AB1167"/>
    <w:rsid w:val="00AB4AFC"/>
    <w:rsid w:val="00AC2CDC"/>
    <w:rsid w:val="00AC5EE7"/>
    <w:rsid w:val="00AD4513"/>
    <w:rsid w:val="00AE435A"/>
    <w:rsid w:val="00AF63FF"/>
    <w:rsid w:val="00B1003A"/>
    <w:rsid w:val="00B148B6"/>
    <w:rsid w:val="00B178C0"/>
    <w:rsid w:val="00B216A5"/>
    <w:rsid w:val="00B4083D"/>
    <w:rsid w:val="00B65909"/>
    <w:rsid w:val="00BA0ACE"/>
    <w:rsid w:val="00BA19C8"/>
    <w:rsid w:val="00BB4E2E"/>
    <w:rsid w:val="00BC4FF2"/>
    <w:rsid w:val="00BD4300"/>
    <w:rsid w:val="00BD77A6"/>
    <w:rsid w:val="00BE7B73"/>
    <w:rsid w:val="00C162F4"/>
    <w:rsid w:val="00C20CBE"/>
    <w:rsid w:val="00C35CDC"/>
    <w:rsid w:val="00C66150"/>
    <w:rsid w:val="00C723F6"/>
    <w:rsid w:val="00C744D0"/>
    <w:rsid w:val="00C94825"/>
    <w:rsid w:val="00C9526C"/>
    <w:rsid w:val="00CA0A74"/>
    <w:rsid w:val="00CA633C"/>
    <w:rsid w:val="00D0187F"/>
    <w:rsid w:val="00D15DC3"/>
    <w:rsid w:val="00D31905"/>
    <w:rsid w:val="00D3678E"/>
    <w:rsid w:val="00D43575"/>
    <w:rsid w:val="00D46E41"/>
    <w:rsid w:val="00D5187B"/>
    <w:rsid w:val="00D52F9D"/>
    <w:rsid w:val="00D631DF"/>
    <w:rsid w:val="00D66A19"/>
    <w:rsid w:val="00D73172"/>
    <w:rsid w:val="00D7478A"/>
    <w:rsid w:val="00D806B3"/>
    <w:rsid w:val="00D80F87"/>
    <w:rsid w:val="00D811FD"/>
    <w:rsid w:val="00D83FFD"/>
    <w:rsid w:val="00D963AF"/>
    <w:rsid w:val="00DB5735"/>
    <w:rsid w:val="00DC4C59"/>
    <w:rsid w:val="00DD48A1"/>
    <w:rsid w:val="00DE2C95"/>
    <w:rsid w:val="00E14638"/>
    <w:rsid w:val="00E33720"/>
    <w:rsid w:val="00E432CD"/>
    <w:rsid w:val="00E501F4"/>
    <w:rsid w:val="00E50E25"/>
    <w:rsid w:val="00E54F56"/>
    <w:rsid w:val="00E66C5B"/>
    <w:rsid w:val="00E66DF9"/>
    <w:rsid w:val="00E76ABE"/>
    <w:rsid w:val="00E95ABD"/>
    <w:rsid w:val="00EA2F28"/>
    <w:rsid w:val="00EA7376"/>
    <w:rsid w:val="00EB31EF"/>
    <w:rsid w:val="00EB47E5"/>
    <w:rsid w:val="00EB655E"/>
    <w:rsid w:val="00EC2987"/>
    <w:rsid w:val="00EF47ED"/>
    <w:rsid w:val="00F22922"/>
    <w:rsid w:val="00F434DA"/>
    <w:rsid w:val="00F466F4"/>
    <w:rsid w:val="00F54EC7"/>
    <w:rsid w:val="00F72F4E"/>
    <w:rsid w:val="00F765F7"/>
    <w:rsid w:val="00F8470F"/>
    <w:rsid w:val="00F92FEF"/>
    <w:rsid w:val="00FB33E1"/>
    <w:rsid w:val="00FD0230"/>
    <w:rsid w:val="00FE1740"/>
    <w:rsid w:val="00FF14F7"/>
    <w:rsid w:val="00FF1FA8"/>
    <w:rsid w:val="00FF78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CEF31"/>
  <w15:docId w15:val="{7032886B-D788-9943-B751-697E60FF8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sz w:val="24"/>
        <w:szCs w:val="24"/>
        <w:lang w:val="en"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12809"/>
    <w:pPr>
      <w:keepNext/>
      <w:keepLines/>
      <w:numPr>
        <w:ilvl w:val="3"/>
        <w:numId w:val="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12809"/>
    <w:pPr>
      <w:keepNext/>
      <w:keepLines/>
      <w:numPr>
        <w:ilvl w:val="4"/>
        <w:numId w:val="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412809"/>
    <w:pPr>
      <w:keepNext/>
      <w:keepLines/>
      <w:numPr>
        <w:ilvl w:val="5"/>
        <w:numId w:val="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12809"/>
    <w:pPr>
      <w:keepNext/>
      <w:keepLines/>
      <w:numPr>
        <w:ilvl w:val="6"/>
        <w:numId w:val="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12809"/>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2809"/>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NormalWeb">
    <w:name w:val="Normal (Web)"/>
    <w:basedOn w:val="Normal"/>
    <w:uiPriority w:val="99"/>
    <w:unhideWhenUsed/>
    <w:rsid w:val="00B1003A"/>
    <w:pPr>
      <w:spacing w:before="100" w:beforeAutospacing="1" w:after="100" w:afterAutospacing="1"/>
    </w:pPr>
    <w:rPr>
      <w:szCs w:val="24"/>
      <w:lang w:eastAsia="id-ID"/>
    </w:rPr>
  </w:style>
  <w:style w:type="paragraph" w:styleId="BalloonText">
    <w:name w:val="Balloon Text"/>
    <w:basedOn w:val="Normal"/>
    <w:link w:val="BalloonTextChar"/>
    <w:uiPriority w:val="99"/>
    <w:semiHidden/>
    <w:unhideWhenUsed/>
    <w:rsid w:val="00194D72"/>
    <w:rPr>
      <w:rFonts w:ascii="Tahoma" w:hAnsi="Tahoma" w:cs="Tahoma"/>
      <w:sz w:val="16"/>
      <w:szCs w:val="16"/>
    </w:rPr>
  </w:style>
  <w:style w:type="character" w:customStyle="1" w:styleId="BalloonTextChar">
    <w:name w:val="Balloon Text Char"/>
    <w:basedOn w:val="DefaultParagraphFont"/>
    <w:link w:val="BalloonText"/>
    <w:uiPriority w:val="99"/>
    <w:semiHidden/>
    <w:rsid w:val="00194D72"/>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412809"/>
    <w:rPr>
      <w:rFonts w:asciiTheme="majorHAnsi" w:eastAsiaTheme="majorEastAsia" w:hAnsiTheme="majorHAnsi" w:cstheme="majorBidi"/>
      <w:i/>
      <w:iCs/>
      <w:color w:val="365F91" w:themeColor="accent1" w:themeShade="BF"/>
      <w:szCs w:val="20"/>
    </w:rPr>
  </w:style>
  <w:style w:type="character" w:customStyle="1" w:styleId="Heading5Char">
    <w:name w:val="Heading 5 Char"/>
    <w:basedOn w:val="DefaultParagraphFont"/>
    <w:link w:val="Heading5"/>
    <w:uiPriority w:val="9"/>
    <w:semiHidden/>
    <w:rsid w:val="00412809"/>
    <w:rPr>
      <w:rFonts w:asciiTheme="majorHAnsi" w:eastAsiaTheme="majorEastAsia" w:hAnsiTheme="majorHAnsi" w:cstheme="majorBidi"/>
      <w:color w:val="365F91" w:themeColor="accent1" w:themeShade="BF"/>
      <w:szCs w:val="20"/>
    </w:rPr>
  </w:style>
  <w:style w:type="character" w:customStyle="1" w:styleId="Heading6Char">
    <w:name w:val="Heading 6 Char"/>
    <w:basedOn w:val="DefaultParagraphFont"/>
    <w:link w:val="Heading6"/>
    <w:uiPriority w:val="9"/>
    <w:semiHidden/>
    <w:rsid w:val="00412809"/>
    <w:rPr>
      <w:rFonts w:asciiTheme="majorHAnsi" w:eastAsiaTheme="majorEastAsia" w:hAnsiTheme="majorHAnsi" w:cstheme="majorBidi"/>
      <w:color w:val="243F60" w:themeColor="accent1" w:themeShade="7F"/>
      <w:szCs w:val="20"/>
    </w:rPr>
  </w:style>
  <w:style w:type="character" w:customStyle="1" w:styleId="Heading7Char">
    <w:name w:val="Heading 7 Char"/>
    <w:basedOn w:val="DefaultParagraphFont"/>
    <w:link w:val="Heading7"/>
    <w:uiPriority w:val="9"/>
    <w:semiHidden/>
    <w:rsid w:val="00412809"/>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41280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2809"/>
    <w:rPr>
      <w:rFonts w:asciiTheme="majorHAnsi" w:eastAsiaTheme="majorEastAsia" w:hAnsiTheme="majorHAnsi" w:cstheme="majorBidi"/>
      <w:i/>
      <w:iCs/>
      <w:color w:val="272727" w:themeColor="text1" w:themeTint="D8"/>
      <w:sz w:val="21"/>
      <w:szCs w:val="21"/>
    </w:rPr>
  </w:style>
  <w:style w:type="character" w:styleId="Strong">
    <w:name w:val="Strong"/>
    <w:basedOn w:val="DefaultParagraphFont"/>
    <w:uiPriority w:val="22"/>
    <w:qFormat/>
    <w:rsid w:val="00A55260"/>
    <w:rPr>
      <w:b/>
      <w:bCs/>
    </w:rPr>
  </w:style>
  <w:style w:type="character" w:styleId="PlaceholderText">
    <w:name w:val="Placeholder Text"/>
    <w:basedOn w:val="DefaultParagraphFont"/>
    <w:uiPriority w:val="99"/>
    <w:semiHidden/>
    <w:rsid w:val="00D0187F"/>
    <w:rPr>
      <w:color w:val="666666"/>
    </w:rPr>
  </w:style>
  <w:style w:type="character" w:styleId="UnresolvedMention">
    <w:name w:val="Unresolved Mention"/>
    <w:basedOn w:val="DefaultParagraphFont"/>
    <w:uiPriority w:val="99"/>
    <w:semiHidden/>
    <w:unhideWhenUsed/>
    <w:rsid w:val="00D963AF"/>
    <w:rPr>
      <w:color w:val="605E5C"/>
      <w:shd w:val="clear" w:color="auto" w:fill="E1DFDD"/>
    </w:rPr>
  </w:style>
  <w:style w:type="table" w:styleId="PlainTable2">
    <w:name w:val="Plain Table 2"/>
    <w:basedOn w:val="TableNormal"/>
    <w:uiPriority w:val="42"/>
    <w:rsid w:val="00D811F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9E4505"/>
    <w:rPr>
      <w:color w:val="800080" w:themeColor="followedHyperlink"/>
      <w:u w:val="single"/>
    </w:rPr>
  </w:style>
  <w:style w:type="paragraph" w:customStyle="1" w:styleId="isselectedend">
    <w:name w:val="isselectedend"/>
    <w:basedOn w:val="Normal"/>
    <w:rsid w:val="007F0203"/>
    <w:pPr>
      <w:spacing w:before="100" w:beforeAutospacing="1" w:after="100" w:afterAutospacing="1"/>
    </w:pPr>
    <w:rPr>
      <w:szCs w:val="24"/>
      <w:lang w:val="en-ID"/>
    </w:rPr>
  </w:style>
  <w:style w:type="paragraph" w:customStyle="1" w:styleId="pdq2pgselectionanchorcontainer">
    <w:name w:val="pdq2pg_selectionanchorcontainer"/>
    <w:basedOn w:val="Normal"/>
    <w:rsid w:val="003A6CA3"/>
    <w:pPr>
      <w:spacing w:before="100" w:beforeAutospacing="1" w:after="100" w:afterAutospacing="1"/>
    </w:pPr>
    <w:rPr>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207542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journal/09596526"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mailto:aslansyahmattulanrengaslan@gmail.com" TargetMode="External"/><Relationship Id="rId2" Type="http://schemas.openxmlformats.org/officeDocument/2006/relationships/numbering" Target="numbering.xml"/><Relationship Id="rId16" Type="http://schemas.openxmlformats.org/officeDocument/2006/relationships/hyperlink" Target="mailto:muh.ramli124@gmail.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amertainstitute.com/index.php/phoenix" TargetMode="External"/><Relationship Id="rId5" Type="http://schemas.openxmlformats.org/officeDocument/2006/relationships/webSettings" Target="webSettings.xml"/><Relationship Id="rId15" Type="http://schemas.openxmlformats.org/officeDocument/2006/relationships/hyperlink" Target="mailto:amirkaton3131@gmail.com" TargetMode="External"/><Relationship Id="rId23" Type="http://schemas.openxmlformats.org/officeDocument/2006/relationships/theme" Target="theme/theme1.xml"/><Relationship Id="rId10" Type="http://schemas.openxmlformats.org/officeDocument/2006/relationships/hyperlink" Target="http://www.sciencedirect.com/science/journal/0959652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urnal.amertainstitute.com/index.php/phoenix" TargetMode="External"/><Relationship Id="rId14" Type="http://schemas.openxmlformats.org/officeDocument/2006/relationships/hyperlink" Target="mailto:indonesiaindonesia55@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amertainstitute.com/"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amertainstitute.com/"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579ED-5CC3-6142-83B9-388BC07A3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14</Pages>
  <Words>8981</Words>
  <Characters>51193</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(https://jurnal.amertainstitute.com/index.php/phoenix)</Company>
  <LinksUpToDate>false</LinksUpToDate>
  <CharactersWithSpaces>60054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Editor</cp:lastModifiedBy>
  <cp:revision>154</cp:revision>
  <cp:lastPrinted>2021-12-13T02:54:00Z</cp:lastPrinted>
  <dcterms:created xsi:type="dcterms:W3CDTF">2014-02-13T03:28:00Z</dcterms:created>
  <dcterms:modified xsi:type="dcterms:W3CDTF">2026-08-17T12:59:00Z</dcterms:modified>
</cp:coreProperties>
</file>